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0C7" w:rsidRPr="004750C7" w:rsidRDefault="004750C7" w:rsidP="004750C7">
      <w:pPr>
        <w:pStyle w:val="Header"/>
        <w:ind w:left="720"/>
        <w:jc w:val="right"/>
        <w:rPr>
          <w:rFonts w:ascii="Arial" w:hAnsi="Arial" w:cs="Arial"/>
          <w:color w:val="0070C0"/>
        </w:rPr>
      </w:pPr>
      <w:r w:rsidRPr="004750C7">
        <w:rPr>
          <w:rFonts w:ascii="Arial" w:hAnsi="Arial" w:cs="Arial"/>
          <w:color w:val="0070C0"/>
        </w:rPr>
        <w:t>GJF/2018/03/11a</w:t>
      </w:r>
    </w:p>
    <w:p w:rsidR="004750C7" w:rsidRDefault="004750C7" w:rsidP="004750C7">
      <w:pPr>
        <w:pStyle w:val="Header"/>
      </w:pPr>
    </w:p>
    <w:p w:rsidR="00354084" w:rsidRPr="00D55096" w:rsidRDefault="004750C7" w:rsidP="00D55096">
      <w:pPr>
        <w:pStyle w:val="Heading1"/>
        <w:tabs>
          <w:tab w:val="left" w:pos="3261"/>
        </w:tabs>
        <w:ind w:right="183"/>
        <w:rPr>
          <w:rFonts w:ascii="Arial" w:hAnsi="Arial" w:cs="Arial"/>
          <w:sz w:val="24"/>
        </w:rPr>
      </w:pPr>
      <w:r>
        <w:rPr>
          <w:rFonts w:ascii="Arial" w:hAnsi="Arial" w:cs="Arial"/>
          <w:noProof/>
          <w:sz w:val="24"/>
          <w:lang w:eastAsia="en-GB"/>
        </w:rPr>
        <w:drawing>
          <wp:anchor distT="0" distB="0" distL="114300" distR="114300" simplePos="0" relativeHeight="251658240" behindDoc="0" locked="0" layoutInCell="1" allowOverlap="1">
            <wp:simplePos x="0" y="0"/>
            <wp:positionH relativeFrom="column">
              <wp:posOffset>4143375</wp:posOffset>
            </wp:positionH>
            <wp:positionV relativeFrom="paragraph">
              <wp:posOffset>49530</wp:posOffset>
            </wp:positionV>
            <wp:extent cx="1388110" cy="1390650"/>
            <wp:effectExtent l="19050" t="0" r="2540" b="0"/>
            <wp:wrapSquare wrapText="bothSides"/>
            <wp:docPr id="3" name="Picture 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JF Logo"/>
                    <pic:cNvPicPr>
                      <a:picLocks noChangeAspect="1" noChangeArrowheads="1"/>
                    </pic:cNvPicPr>
                  </pic:nvPicPr>
                  <pic:blipFill>
                    <a:blip r:embed="rId7"/>
                    <a:srcRect/>
                    <a:stretch>
                      <a:fillRect/>
                    </a:stretch>
                  </pic:blipFill>
                  <pic:spPr bwMode="auto">
                    <a:xfrm>
                      <a:off x="0" y="0"/>
                      <a:ext cx="1388110" cy="1390650"/>
                    </a:xfrm>
                    <a:prstGeom prst="rect">
                      <a:avLst/>
                    </a:prstGeom>
                    <a:noFill/>
                  </pic:spPr>
                </pic:pic>
              </a:graphicData>
            </a:graphic>
          </wp:anchor>
        </w:drawing>
      </w:r>
      <w:r w:rsidR="00865BAD">
        <w:rPr>
          <w:rFonts w:ascii="Arial" w:hAnsi="Arial" w:cs="Arial"/>
          <w:noProof/>
          <w:sz w:val="24"/>
          <w:lang w:eastAsia="en-GB"/>
        </w:rPr>
        <w:t>Board Meeting</w:t>
      </w:r>
      <w:r w:rsidR="00D55096" w:rsidRPr="00E42B7D">
        <w:rPr>
          <w:rFonts w:ascii="Arial" w:hAnsi="Arial" w:cs="Arial"/>
          <w:noProof/>
          <w:sz w:val="24"/>
          <w:lang w:eastAsia="en-GB"/>
        </w:rPr>
        <w:t>:</w:t>
      </w:r>
      <w:r w:rsidR="00354084" w:rsidRPr="00E42B7D">
        <w:rPr>
          <w:rFonts w:ascii="Arial" w:hAnsi="Arial" w:cs="Arial"/>
          <w:sz w:val="24"/>
        </w:rPr>
        <w:t xml:space="preserve"> </w:t>
      </w:r>
      <w:r w:rsidR="00693B97" w:rsidRPr="00E42B7D">
        <w:rPr>
          <w:rFonts w:ascii="Arial" w:hAnsi="Arial" w:cs="Arial"/>
          <w:sz w:val="24"/>
        </w:rPr>
        <w:tab/>
      </w:r>
      <w:r w:rsidR="00865BAD" w:rsidRPr="00865BAD">
        <w:rPr>
          <w:rFonts w:ascii="Arial" w:hAnsi="Arial" w:cs="Arial"/>
          <w:b w:val="0"/>
          <w:sz w:val="24"/>
        </w:rPr>
        <w:t>29</w:t>
      </w:r>
      <w:r w:rsidR="00354084" w:rsidRPr="00982F38">
        <w:rPr>
          <w:rFonts w:ascii="Arial" w:hAnsi="Arial" w:cs="Arial"/>
          <w:b w:val="0"/>
          <w:sz w:val="24"/>
        </w:rPr>
        <w:t xml:space="preserve"> </w:t>
      </w:r>
      <w:r w:rsidR="00E42B7D" w:rsidRPr="00982F38">
        <w:rPr>
          <w:rFonts w:ascii="Arial" w:hAnsi="Arial" w:cs="Arial"/>
          <w:b w:val="0"/>
          <w:sz w:val="24"/>
        </w:rPr>
        <w:t>M</w:t>
      </w:r>
      <w:r w:rsidR="00E42B7D" w:rsidRPr="00E42B7D">
        <w:rPr>
          <w:rFonts w:ascii="Arial" w:hAnsi="Arial" w:cs="Arial"/>
          <w:b w:val="0"/>
          <w:sz w:val="24"/>
        </w:rPr>
        <w:t>arch</w:t>
      </w:r>
      <w:r w:rsidR="00354084" w:rsidRPr="00E42B7D">
        <w:rPr>
          <w:rFonts w:ascii="Arial" w:hAnsi="Arial" w:cs="Arial"/>
          <w:b w:val="0"/>
          <w:sz w:val="24"/>
        </w:rPr>
        <w:t xml:space="preserve"> 201</w:t>
      </w:r>
      <w:r w:rsidR="00B03BB8" w:rsidRPr="00E42B7D">
        <w:rPr>
          <w:rFonts w:ascii="Arial" w:hAnsi="Arial" w:cs="Arial"/>
          <w:b w:val="0"/>
          <w:sz w:val="24"/>
        </w:rPr>
        <w:t>8</w:t>
      </w:r>
      <w:r w:rsidR="00354084">
        <w:rPr>
          <w:rFonts w:ascii="Arial" w:hAnsi="Arial" w:cs="Arial"/>
          <w:sz w:val="24"/>
        </w:rPr>
        <w:tab/>
      </w:r>
      <w:r w:rsidR="00865BAD">
        <w:rPr>
          <w:rFonts w:ascii="Arial" w:hAnsi="Arial" w:cs="Arial"/>
          <w:sz w:val="24"/>
        </w:rPr>
        <w:br/>
      </w:r>
      <w:r w:rsidR="00354084" w:rsidRPr="001175E5">
        <w:rPr>
          <w:rFonts w:ascii="Arial" w:hAnsi="Arial" w:cs="Arial"/>
          <w:b w:val="0"/>
          <w:sz w:val="24"/>
        </w:rPr>
        <w:tab/>
      </w:r>
      <w:r w:rsidR="00354084">
        <w:rPr>
          <w:rFonts w:ascii="Arial" w:hAnsi="Arial" w:cs="Arial"/>
          <w:b w:val="0"/>
          <w:sz w:val="24"/>
        </w:rPr>
        <w:tab/>
      </w:r>
    </w:p>
    <w:p w:rsidR="00354084" w:rsidRPr="00682309" w:rsidRDefault="00354084" w:rsidP="000F4B4A">
      <w:pPr>
        <w:tabs>
          <w:tab w:val="left" w:pos="3261"/>
        </w:tabs>
        <w:ind w:left="3255" w:right="183" w:hanging="3255"/>
        <w:rPr>
          <w:rFonts w:ascii="Arial" w:hAnsi="Arial" w:cs="Arial"/>
        </w:rPr>
      </w:pPr>
      <w:r w:rsidRPr="00682309">
        <w:rPr>
          <w:rFonts w:ascii="Arial" w:hAnsi="Arial" w:cs="Arial"/>
          <w:b/>
          <w:bCs/>
        </w:rPr>
        <w:t xml:space="preserve">Subject: </w:t>
      </w:r>
      <w:r w:rsidRPr="00682309">
        <w:rPr>
          <w:rFonts w:ascii="Arial" w:hAnsi="Arial" w:cs="Arial"/>
          <w:b/>
          <w:bCs/>
        </w:rPr>
        <w:tab/>
      </w:r>
      <w:r>
        <w:rPr>
          <w:rFonts w:ascii="Arial" w:hAnsi="Arial" w:cs="Arial"/>
          <w:b/>
          <w:bCs/>
        </w:rPr>
        <w:tab/>
      </w:r>
      <w:r w:rsidRPr="00037BDB">
        <w:rPr>
          <w:rFonts w:ascii="Arial" w:hAnsi="Arial" w:cs="Arial"/>
          <w:bCs/>
        </w:rPr>
        <w:t xml:space="preserve">Finance Report – </w:t>
      </w:r>
      <w:r w:rsidR="00E42B7D">
        <w:rPr>
          <w:rFonts w:ascii="Arial" w:hAnsi="Arial" w:cs="Arial"/>
          <w:bCs/>
        </w:rPr>
        <w:t>January 2018</w:t>
      </w:r>
    </w:p>
    <w:p w:rsidR="00354084" w:rsidRPr="00682309" w:rsidRDefault="00354084" w:rsidP="00037BDB">
      <w:pPr>
        <w:ind w:right="183"/>
        <w:rPr>
          <w:rFonts w:ascii="Arial" w:hAnsi="Arial" w:cs="Arial"/>
          <w:b/>
          <w:bCs/>
        </w:rPr>
      </w:pPr>
      <w:r w:rsidRPr="00682309">
        <w:rPr>
          <w:rFonts w:ascii="Arial" w:hAnsi="Arial" w:cs="Arial"/>
          <w:b/>
          <w:bCs/>
        </w:rPr>
        <w:tab/>
      </w:r>
    </w:p>
    <w:p w:rsidR="00354084" w:rsidRPr="00682309" w:rsidRDefault="00354084" w:rsidP="006C701E">
      <w:pPr>
        <w:tabs>
          <w:tab w:val="left" w:pos="3261"/>
        </w:tabs>
        <w:ind w:left="3255" w:right="183" w:hanging="3255"/>
        <w:rPr>
          <w:rFonts w:ascii="Arial" w:hAnsi="Arial" w:cs="Arial"/>
        </w:rPr>
      </w:pPr>
      <w:r w:rsidRPr="00682309">
        <w:rPr>
          <w:rFonts w:ascii="Arial" w:hAnsi="Arial" w:cs="Arial"/>
          <w:b/>
          <w:bCs/>
        </w:rPr>
        <w:t>Recommendation:</w:t>
      </w:r>
      <w:r w:rsidRPr="00682309">
        <w:rPr>
          <w:rFonts w:ascii="Arial" w:hAnsi="Arial" w:cs="Arial"/>
          <w:b/>
          <w:bCs/>
        </w:rPr>
        <w:tab/>
      </w:r>
      <w:r>
        <w:rPr>
          <w:rFonts w:ascii="Arial" w:hAnsi="Arial" w:cs="Arial"/>
          <w:b/>
          <w:bCs/>
        </w:rPr>
        <w:tab/>
      </w:r>
      <w:r w:rsidRPr="00FB7212">
        <w:rPr>
          <w:rFonts w:ascii="Arial" w:hAnsi="Arial" w:cs="Arial"/>
        </w:rPr>
        <w:t xml:space="preserve">Members are asked to note this </w:t>
      </w:r>
      <w:r>
        <w:rPr>
          <w:rFonts w:ascii="Arial" w:hAnsi="Arial" w:cs="Arial"/>
        </w:rPr>
        <w:br/>
      </w:r>
      <w:r w:rsidRPr="00FB7212">
        <w:rPr>
          <w:rFonts w:ascii="Arial" w:hAnsi="Arial" w:cs="Arial"/>
        </w:rPr>
        <w:t>report</w:t>
      </w:r>
      <w:r>
        <w:rPr>
          <w:rFonts w:ascii="Arial" w:hAnsi="Arial" w:cs="Arial"/>
        </w:rPr>
        <w:t xml:space="preserve"> </w:t>
      </w:r>
      <w:r w:rsidRPr="00FB7212">
        <w:rPr>
          <w:rFonts w:ascii="Arial" w:hAnsi="Arial" w:cs="Arial"/>
        </w:rPr>
        <w:t xml:space="preserve">for the period to </w:t>
      </w:r>
      <w:r w:rsidR="00E42B7D">
        <w:rPr>
          <w:rFonts w:ascii="Arial" w:hAnsi="Arial" w:cs="Arial"/>
        </w:rPr>
        <w:t>31 January 2018</w:t>
      </w:r>
    </w:p>
    <w:p w:rsidR="00354084" w:rsidRPr="00682309" w:rsidRDefault="00354084" w:rsidP="00037BDB">
      <w:pPr>
        <w:ind w:right="-483"/>
        <w:rPr>
          <w:rFonts w:ascii="Arial" w:hAnsi="Arial" w:cs="Arial"/>
          <w:b/>
          <w:bCs/>
        </w:rPr>
      </w:pPr>
      <w:r>
        <w:rPr>
          <w:rFonts w:ascii="Arial" w:hAnsi="Arial" w:cs="Arial"/>
          <w:b/>
          <w:bCs/>
        </w:rPr>
        <w:t>__________________________________________________</w:t>
      </w:r>
      <w:r w:rsidR="004750C7">
        <w:rPr>
          <w:rFonts w:ascii="Arial" w:hAnsi="Arial" w:cs="Arial"/>
          <w:b/>
          <w:bCs/>
        </w:rPr>
        <w:t>_____________</w:t>
      </w:r>
    </w:p>
    <w:p w:rsidR="00354084" w:rsidRPr="00FB7212" w:rsidRDefault="00354084">
      <w:pPr>
        <w:pStyle w:val="BodyTextIndent2"/>
        <w:ind w:left="0"/>
        <w:rPr>
          <w:rFonts w:ascii="Arial" w:hAnsi="Arial" w:cs="Arial"/>
          <w:sz w:val="16"/>
        </w:rPr>
      </w:pPr>
    </w:p>
    <w:p w:rsidR="00354084" w:rsidRDefault="00354084" w:rsidP="00F77BF0">
      <w:pPr>
        <w:pStyle w:val="Heading4"/>
        <w:numPr>
          <w:ilvl w:val="0"/>
          <w:numId w:val="3"/>
        </w:numPr>
        <w:rPr>
          <w:rFonts w:ascii="Arial" w:hAnsi="Arial" w:cs="Arial"/>
        </w:rPr>
      </w:pPr>
      <w:r w:rsidRPr="00FB7212">
        <w:rPr>
          <w:rFonts w:ascii="Arial" w:hAnsi="Arial" w:cs="Arial"/>
        </w:rPr>
        <w:t>Introduction/Key Issues</w:t>
      </w:r>
    </w:p>
    <w:p w:rsidR="00354084" w:rsidRDefault="00354084" w:rsidP="007A3B40">
      <w:pPr>
        <w:pStyle w:val="BodyTextIndent2"/>
        <w:ind w:left="0"/>
        <w:jc w:val="left"/>
        <w:rPr>
          <w:rFonts w:ascii="Arial" w:hAnsi="Arial" w:cs="Arial"/>
        </w:rPr>
      </w:pPr>
    </w:p>
    <w:p w:rsidR="00354084" w:rsidRPr="002E3101" w:rsidRDefault="00354084" w:rsidP="00E66A89">
      <w:pPr>
        <w:pStyle w:val="BodyTextIndent2"/>
        <w:ind w:left="360"/>
        <w:jc w:val="left"/>
        <w:rPr>
          <w:rFonts w:ascii="Arial" w:hAnsi="Arial" w:cs="Arial"/>
        </w:rPr>
      </w:pPr>
      <w:r w:rsidRPr="002E3101">
        <w:rPr>
          <w:rFonts w:ascii="Arial" w:hAnsi="Arial" w:cs="Arial"/>
        </w:rPr>
        <w:t>The year-to-date (Y</w:t>
      </w:r>
      <w:r w:rsidR="00DD7165">
        <w:rPr>
          <w:rFonts w:ascii="Arial" w:hAnsi="Arial" w:cs="Arial"/>
        </w:rPr>
        <w:t>TD) results show a small</w:t>
      </w:r>
      <w:r w:rsidR="00E42B7D">
        <w:rPr>
          <w:rFonts w:ascii="Arial" w:hAnsi="Arial" w:cs="Arial"/>
        </w:rPr>
        <w:t xml:space="preserve"> surplus</w:t>
      </w:r>
      <w:r w:rsidRPr="002E3101">
        <w:rPr>
          <w:rFonts w:ascii="Arial" w:hAnsi="Arial" w:cs="Arial"/>
        </w:rPr>
        <w:t xml:space="preserve"> of £</w:t>
      </w:r>
      <w:r w:rsidR="007F68FF">
        <w:rPr>
          <w:rFonts w:ascii="Arial" w:hAnsi="Arial" w:cs="Arial"/>
        </w:rPr>
        <w:t>80</w:t>
      </w:r>
      <w:r w:rsidRPr="002E3101">
        <w:rPr>
          <w:rFonts w:ascii="Arial" w:hAnsi="Arial" w:cs="Arial"/>
        </w:rPr>
        <w:t xml:space="preserve">k. This includes both core and non-core expenditure, this is in line with the forecast in the finance plan. This </w:t>
      </w:r>
      <w:r>
        <w:rPr>
          <w:rFonts w:ascii="Arial" w:hAnsi="Arial" w:cs="Arial"/>
        </w:rPr>
        <w:t xml:space="preserve">planned </w:t>
      </w:r>
      <w:r w:rsidRPr="002E3101">
        <w:rPr>
          <w:rFonts w:ascii="Arial" w:hAnsi="Arial" w:cs="Arial"/>
        </w:rPr>
        <w:t>surplus is made of the following:</w:t>
      </w:r>
    </w:p>
    <w:p w:rsidR="00354084" w:rsidRPr="002E3101" w:rsidRDefault="00354084" w:rsidP="00255F24">
      <w:pPr>
        <w:pStyle w:val="BodyTextIndent2"/>
        <w:ind w:left="0"/>
        <w:jc w:val="left"/>
        <w:rPr>
          <w:rFonts w:ascii="Arial" w:hAnsi="Arial" w:cs="Arial"/>
        </w:rPr>
      </w:pPr>
    </w:p>
    <w:p w:rsidR="00354084" w:rsidRPr="002E3101" w:rsidRDefault="008749E9" w:rsidP="005360F9">
      <w:pPr>
        <w:pStyle w:val="BodyTextIndent2"/>
        <w:numPr>
          <w:ilvl w:val="0"/>
          <w:numId w:val="4"/>
        </w:numPr>
        <w:jc w:val="left"/>
        <w:rPr>
          <w:rFonts w:ascii="Arial" w:hAnsi="Arial" w:cs="Arial"/>
        </w:rPr>
      </w:pPr>
      <w:r>
        <w:rPr>
          <w:rFonts w:ascii="Arial" w:hAnsi="Arial" w:cs="Arial"/>
        </w:rPr>
        <w:t>Income – ahead of</w:t>
      </w:r>
      <w:r w:rsidR="00354084" w:rsidRPr="002E3101">
        <w:rPr>
          <w:rFonts w:ascii="Arial" w:hAnsi="Arial" w:cs="Arial"/>
        </w:rPr>
        <w:t xml:space="preserve"> target </w:t>
      </w:r>
      <w:r w:rsidR="00354084" w:rsidRPr="00AC3356">
        <w:rPr>
          <w:rFonts w:ascii="Arial" w:hAnsi="Arial" w:cs="Arial"/>
        </w:rPr>
        <w:t>by £</w:t>
      </w:r>
      <w:r w:rsidR="007F68FF" w:rsidRPr="00AC3356">
        <w:rPr>
          <w:rFonts w:ascii="Arial" w:hAnsi="Arial" w:cs="Arial"/>
        </w:rPr>
        <w:t>337</w:t>
      </w:r>
      <w:r w:rsidR="00354084" w:rsidRPr="00AC3356">
        <w:rPr>
          <w:rFonts w:ascii="Arial" w:hAnsi="Arial" w:cs="Arial"/>
        </w:rPr>
        <w:t>k</w:t>
      </w:r>
      <w:r w:rsidR="00354084" w:rsidRPr="002E3101">
        <w:rPr>
          <w:rFonts w:ascii="Arial" w:hAnsi="Arial" w:cs="Arial"/>
        </w:rPr>
        <w:t xml:space="preserve"> YTD;</w:t>
      </w:r>
    </w:p>
    <w:p w:rsidR="00354084" w:rsidRPr="002E3101" w:rsidRDefault="00354084" w:rsidP="005360F9">
      <w:pPr>
        <w:pStyle w:val="BodyTextIndent2"/>
        <w:numPr>
          <w:ilvl w:val="0"/>
          <w:numId w:val="4"/>
        </w:numPr>
        <w:jc w:val="left"/>
        <w:rPr>
          <w:rFonts w:ascii="Arial" w:hAnsi="Arial" w:cs="Arial"/>
        </w:rPr>
      </w:pPr>
      <w:r w:rsidRPr="002E3101">
        <w:rPr>
          <w:rFonts w:ascii="Arial" w:hAnsi="Arial" w:cs="Arial"/>
        </w:rPr>
        <w:t xml:space="preserve">Core Expenditure – </w:t>
      </w:r>
      <w:r w:rsidR="008749E9">
        <w:rPr>
          <w:rFonts w:ascii="Arial" w:hAnsi="Arial" w:cs="Arial"/>
        </w:rPr>
        <w:t>ov</w:t>
      </w:r>
      <w:r w:rsidRPr="002E3101">
        <w:rPr>
          <w:rFonts w:ascii="Arial" w:hAnsi="Arial" w:cs="Arial"/>
        </w:rPr>
        <w:t xml:space="preserve">erspend of </w:t>
      </w:r>
      <w:r w:rsidR="008749E9" w:rsidRPr="00AC3356">
        <w:rPr>
          <w:rFonts w:ascii="Arial" w:hAnsi="Arial" w:cs="Arial"/>
        </w:rPr>
        <w:t>(</w:t>
      </w:r>
      <w:r w:rsidRPr="00AC3356">
        <w:rPr>
          <w:rFonts w:ascii="Arial" w:hAnsi="Arial" w:cs="Arial"/>
        </w:rPr>
        <w:t>£</w:t>
      </w:r>
      <w:r w:rsidR="007F68FF" w:rsidRPr="00AC3356">
        <w:rPr>
          <w:rFonts w:ascii="Arial" w:hAnsi="Arial" w:cs="Arial"/>
        </w:rPr>
        <w:t>331</w:t>
      </w:r>
      <w:r w:rsidRPr="00AC3356">
        <w:rPr>
          <w:rFonts w:ascii="Arial" w:hAnsi="Arial" w:cs="Arial"/>
        </w:rPr>
        <w:t>k</w:t>
      </w:r>
      <w:r w:rsidR="008749E9" w:rsidRPr="00AC3356">
        <w:rPr>
          <w:rFonts w:ascii="Arial" w:hAnsi="Arial" w:cs="Arial"/>
        </w:rPr>
        <w:t>)</w:t>
      </w:r>
      <w:r w:rsidRPr="002E3101">
        <w:rPr>
          <w:rFonts w:ascii="Arial" w:hAnsi="Arial" w:cs="Arial"/>
        </w:rPr>
        <w:t xml:space="preserve"> YTD; and</w:t>
      </w:r>
    </w:p>
    <w:p w:rsidR="00354084" w:rsidRPr="002E3101" w:rsidRDefault="007F68FF" w:rsidP="005360F9">
      <w:pPr>
        <w:pStyle w:val="BodyTextIndent2"/>
        <w:numPr>
          <w:ilvl w:val="0"/>
          <w:numId w:val="4"/>
        </w:numPr>
        <w:jc w:val="left"/>
        <w:rPr>
          <w:rFonts w:ascii="Arial" w:hAnsi="Arial" w:cs="Arial"/>
        </w:rPr>
      </w:pPr>
      <w:r>
        <w:rPr>
          <w:rFonts w:ascii="Arial" w:hAnsi="Arial" w:cs="Arial"/>
        </w:rPr>
        <w:t xml:space="preserve">Non-core Expenditure – </w:t>
      </w:r>
      <w:proofErr w:type="spellStart"/>
      <w:r>
        <w:rPr>
          <w:rFonts w:ascii="Arial" w:hAnsi="Arial" w:cs="Arial"/>
        </w:rPr>
        <w:t>und</w:t>
      </w:r>
      <w:r w:rsidR="00354084" w:rsidRPr="002E3101">
        <w:rPr>
          <w:rFonts w:ascii="Arial" w:hAnsi="Arial" w:cs="Arial"/>
        </w:rPr>
        <w:t>erspend</w:t>
      </w:r>
      <w:proofErr w:type="spellEnd"/>
      <w:r w:rsidR="00354084" w:rsidRPr="002E3101">
        <w:rPr>
          <w:rFonts w:ascii="Arial" w:hAnsi="Arial" w:cs="Arial"/>
        </w:rPr>
        <w:t xml:space="preserve"> of </w:t>
      </w:r>
      <w:r w:rsidR="006C162F">
        <w:rPr>
          <w:rFonts w:ascii="Arial" w:hAnsi="Arial" w:cs="Arial"/>
        </w:rPr>
        <w:t>£</w:t>
      </w:r>
      <w:r>
        <w:rPr>
          <w:rFonts w:ascii="Arial" w:hAnsi="Arial" w:cs="Arial"/>
        </w:rPr>
        <w:t>73</w:t>
      </w:r>
      <w:r w:rsidR="00354084" w:rsidRPr="002E3101">
        <w:rPr>
          <w:rFonts w:ascii="Arial" w:hAnsi="Arial" w:cs="Arial"/>
        </w:rPr>
        <w:t>k YTD.</w:t>
      </w:r>
    </w:p>
    <w:p w:rsidR="00354084" w:rsidRPr="002E3101" w:rsidRDefault="00354084" w:rsidP="005360F9">
      <w:pPr>
        <w:pStyle w:val="BodyTextIndent2"/>
        <w:ind w:left="0"/>
        <w:jc w:val="left"/>
        <w:rPr>
          <w:rFonts w:ascii="Arial" w:hAnsi="Arial" w:cs="Arial"/>
        </w:rPr>
      </w:pPr>
    </w:p>
    <w:p w:rsidR="00354084" w:rsidRDefault="00354084" w:rsidP="005360F9">
      <w:pPr>
        <w:pStyle w:val="BodyTextIndent2"/>
        <w:ind w:left="360"/>
        <w:jc w:val="left"/>
        <w:rPr>
          <w:rFonts w:ascii="Arial" w:hAnsi="Arial" w:cs="Arial"/>
        </w:rPr>
      </w:pPr>
      <w:r w:rsidRPr="002E3101">
        <w:rPr>
          <w:rFonts w:ascii="Arial" w:hAnsi="Arial" w:cs="Arial"/>
        </w:rPr>
        <w:t xml:space="preserve">The summary income and expenditure is included at appendix one. </w:t>
      </w:r>
      <w:r>
        <w:rPr>
          <w:rFonts w:ascii="Arial" w:hAnsi="Arial" w:cs="Arial"/>
        </w:rPr>
        <w:t>The key points in our income and expenditure to highlight are detailed below (efficiency savin</w:t>
      </w:r>
      <w:r w:rsidR="008749E9">
        <w:rPr>
          <w:rFonts w:ascii="Arial" w:hAnsi="Arial" w:cs="Arial"/>
        </w:rPr>
        <w:t>gs are discussed in section six</w:t>
      </w:r>
      <w:r>
        <w:rPr>
          <w:rFonts w:ascii="Arial" w:hAnsi="Arial" w:cs="Arial"/>
        </w:rPr>
        <w:t>);</w:t>
      </w:r>
    </w:p>
    <w:p w:rsidR="00354084" w:rsidRDefault="00354084" w:rsidP="005360F9">
      <w:pPr>
        <w:pStyle w:val="BodyTextIndent2"/>
        <w:ind w:left="360"/>
        <w:jc w:val="left"/>
        <w:rPr>
          <w:rFonts w:ascii="Arial" w:hAnsi="Arial" w:cs="Arial"/>
        </w:rPr>
      </w:pPr>
    </w:p>
    <w:p w:rsidR="00354084" w:rsidRDefault="00354084" w:rsidP="005360F9">
      <w:pPr>
        <w:pStyle w:val="BodyTextIndent2"/>
        <w:ind w:left="360"/>
        <w:jc w:val="left"/>
        <w:rPr>
          <w:rFonts w:ascii="Arial" w:hAnsi="Arial" w:cs="Arial"/>
          <w:u w:val="single"/>
        </w:rPr>
      </w:pPr>
      <w:r w:rsidRPr="001F4C51">
        <w:rPr>
          <w:rFonts w:ascii="Arial" w:hAnsi="Arial" w:cs="Arial"/>
          <w:u w:val="single"/>
        </w:rPr>
        <w:t>Income</w:t>
      </w:r>
    </w:p>
    <w:p w:rsidR="002E6C31" w:rsidRDefault="002E6C31" w:rsidP="005360F9">
      <w:pPr>
        <w:pStyle w:val="BodyTextIndent2"/>
        <w:ind w:left="360"/>
        <w:jc w:val="left"/>
        <w:rPr>
          <w:rFonts w:ascii="Arial" w:hAnsi="Arial" w:cs="Arial"/>
          <w:u w:val="single"/>
        </w:rPr>
      </w:pPr>
    </w:p>
    <w:p w:rsidR="00354084" w:rsidRPr="00DE2301" w:rsidRDefault="00354084" w:rsidP="00810A57">
      <w:pPr>
        <w:pStyle w:val="ListParagraph"/>
        <w:numPr>
          <w:ilvl w:val="0"/>
          <w:numId w:val="16"/>
        </w:numPr>
        <w:spacing w:after="0" w:line="240" w:lineRule="auto"/>
        <w:rPr>
          <w:rFonts w:ascii="Arial" w:hAnsi="Arial" w:cs="Arial"/>
          <w:sz w:val="24"/>
          <w:szCs w:val="24"/>
        </w:rPr>
      </w:pPr>
      <w:r>
        <w:rPr>
          <w:rFonts w:ascii="Arial" w:hAnsi="Arial" w:cs="Arial"/>
          <w:sz w:val="24"/>
          <w:szCs w:val="24"/>
        </w:rPr>
        <w:t xml:space="preserve">This is </w:t>
      </w:r>
      <w:r w:rsidR="007F68FF">
        <w:rPr>
          <w:rFonts w:ascii="Arial" w:hAnsi="Arial" w:cs="Arial"/>
          <w:sz w:val="24"/>
          <w:szCs w:val="24"/>
        </w:rPr>
        <w:t>showing a continued improvement in</w:t>
      </w:r>
      <w:r w:rsidR="008749E9">
        <w:rPr>
          <w:rFonts w:ascii="Arial" w:hAnsi="Arial" w:cs="Arial"/>
          <w:sz w:val="24"/>
          <w:szCs w:val="24"/>
        </w:rPr>
        <w:t xml:space="preserve"> </w:t>
      </w:r>
      <w:r w:rsidRPr="00DE2301">
        <w:rPr>
          <w:rFonts w:ascii="Arial" w:hAnsi="Arial" w:cs="Arial"/>
          <w:sz w:val="24"/>
          <w:szCs w:val="24"/>
        </w:rPr>
        <w:t>performance against plan</w:t>
      </w:r>
      <w:r>
        <w:rPr>
          <w:rFonts w:ascii="Arial" w:hAnsi="Arial" w:cs="Arial"/>
          <w:sz w:val="24"/>
          <w:szCs w:val="24"/>
        </w:rPr>
        <w:t xml:space="preserve"> </w:t>
      </w:r>
      <w:r w:rsidRPr="00DE2301">
        <w:rPr>
          <w:rFonts w:ascii="Arial" w:hAnsi="Arial" w:cs="Arial"/>
          <w:sz w:val="24"/>
          <w:szCs w:val="24"/>
        </w:rPr>
        <w:t>for</w:t>
      </w:r>
      <w:r w:rsidR="00956422">
        <w:rPr>
          <w:rFonts w:ascii="Arial" w:hAnsi="Arial" w:cs="Arial"/>
          <w:sz w:val="24"/>
          <w:szCs w:val="24"/>
        </w:rPr>
        <w:t xml:space="preserve"> Research and D</w:t>
      </w:r>
      <w:r w:rsidR="008749E9">
        <w:rPr>
          <w:rFonts w:ascii="Arial" w:hAnsi="Arial" w:cs="Arial"/>
          <w:sz w:val="24"/>
          <w:szCs w:val="24"/>
        </w:rPr>
        <w:t>evelopment</w:t>
      </w:r>
      <w:r w:rsidR="007F68FF">
        <w:rPr>
          <w:rFonts w:ascii="Arial" w:hAnsi="Arial" w:cs="Arial"/>
          <w:sz w:val="24"/>
          <w:szCs w:val="24"/>
        </w:rPr>
        <w:t xml:space="preserve"> projects and CNORIS </w:t>
      </w:r>
      <w:r w:rsidR="008749E9">
        <w:rPr>
          <w:rFonts w:ascii="Arial" w:hAnsi="Arial" w:cs="Arial"/>
          <w:sz w:val="24"/>
          <w:szCs w:val="24"/>
        </w:rPr>
        <w:t>which partly offsets performance behind plan for the Golden Jubilee conference Hotel</w:t>
      </w:r>
      <w:r w:rsidR="001764A8">
        <w:rPr>
          <w:rFonts w:ascii="Arial" w:hAnsi="Arial" w:cs="Arial"/>
          <w:sz w:val="24"/>
          <w:szCs w:val="24"/>
        </w:rPr>
        <w:t>.</w:t>
      </w:r>
    </w:p>
    <w:p w:rsidR="00354084" w:rsidRDefault="00354084" w:rsidP="002178A3">
      <w:pPr>
        <w:pStyle w:val="BodyTextIndent3"/>
        <w:ind w:left="1080"/>
        <w:jc w:val="left"/>
        <w:rPr>
          <w:rFonts w:ascii="Arial" w:hAnsi="Arial" w:cs="Arial"/>
        </w:rPr>
      </w:pPr>
    </w:p>
    <w:p w:rsidR="00354084" w:rsidRDefault="00354084" w:rsidP="002178A3">
      <w:pPr>
        <w:pStyle w:val="BodyTextIndent3"/>
        <w:jc w:val="left"/>
        <w:rPr>
          <w:rFonts w:ascii="Arial" w:hAnsi="Arial" w:cs="Arial"/>
          <w:u w:val="single"/>
        </w:rPr>
      </w:pPr>
      <w:r w:rsidRPr="002178A3">
        <w:rPr>
          <w:rFonts w:ascii="Arial" w:hAnsi="Arial" w:cs="Arial"/>
          <w:u w:val="single"/>
        </w:rPr>
        <w:t>Expenditure</w:t>
      </w:r>
    </w:p>
    <w:p w:rsidR="002E6C31" w:rsidRDefault="002E6C31" w:rsidP="002178A3">
      <w:pPr>
        <w:pStyle w:val="BodyTextIndent3"/>
        <w:jc w:val="left"/>
        <w:rPr>
          <w:rFonts w:ascii="Arial" w:hAnsi="Arial" w:cs="Arial"/>
          <w:u w:val="single"/>
        </w:rPr>
      </w:pPr>
    </w:p>
    <w:p w:rsidR="002E6C31" w:rsidRDefault="007F68FF" w:rsidP="005F2F8F">
      <w:pPr>
        <w:pStyle w:val="BodyTextIndent3"/>
        <w:numPr>
          <w:ilvl w:val="0"/>
          <w:numId w:val="16"/>
        </w:numPr>
        <w:jc w:val="left"/>
        <w:rPr>
          <w:rFonts w:ascii="Arial" w:hAnsi="Arial" w:cs="Arial"/>
        </w:rPr>
      </w:pPr>
      <w:r w:rsidRPr="005F2F8F">
        <w:rPr>
          <w:rFonts w:ascii="Arial" w:hAnsi="Arial" w:cs="Arial"/>
        </w:rPr>
        <w:t xml:space="preserve">As with prior months </w:t>
      </w:r>
      <w:r w:rsidR="00354084" w:rsidRPr="005F2F8F">
        <w:rPr>
          <w:rFonts w:ascii="Arial" w:hAnsi="Arial" w:cs="Arial"/>
        </w:rPr>
        <w:t>P</w:t>
      </w:r>
      <w:r w:rsidR="003411C7" w:rsidRPr="005F2F8F">
        <w:rPr>
          <w:rFonts w:ascii="Arial" w:hAnsi="Arial" w:cs="Arial"/>
        </w:rPr>
        <w:t>a</w:t>
      </w:r>
      <w:r w:rsidR="00354084" w:rsidRPr="005F2F8F">
        <w:rPr>
          <w:rFonts w:ascii="Arial" w:hAnsi="Arial" w:cs="Arial"/>
        </w:rPr>
        <w:t xml:space="preserve">y pressures </w:t>
      </w:r>
      <w:r w:rsidR="00A508AF" w:rsidRPr="005F2F8F">
        <w:rPr>
          <w:rFonts w:ascii="Arial" w:hAnsi="Arial" w:cs="Arial"/>
        </w:rPr>
        <w:t xml:space="preserve">within Medical staff pay costs remains </w:t>
      </w:r>
      <w:r w:rsidR="005F2F8F" w:rsidRPr="005F2F8F">
        <w:rPr>
          <w:rFonts w:ascii="Arial" w:hAnsi="Arial" w:cs="Arial"/>
        </w:rPr>
        <w:t>an issue due to cover for</w:t>
      </w:r>
      <w:r w:rsidR="00A508AF" w:rsidRPr="005F2F8F">
        <w:rPr>
          <w:rFonts w:ascii="Arial" w:hAnsi="Arial" w:cs="Arial"/>
        </w:rPr>
        <w:t xml:space="preserve"> vacancies, unplanned leave and the</w:t>
      </w:r>
      <w:r w:rsidR="005F2F8F">
        <w:rPr>
          <w:rFonts w:ascii="Arial" w:hAnsi="Arial" w:cs="Arial"/>
        </w:rPr>
        <w:t>refore the</w:t>
      </w:r>
      <w:r w:rsidR="00A508AF" w:rsidRPr="005F2F8F">
        <w:rPr>
          <w:rFonts w:ascii="Arial" w:hAnsi="Arial" w:cs="Arial"/>
        </w:rPr>
        <w:t xml:space="preserve"> need for additional sessions. </w:t>
      </w:r>
    </w:p>
    <w:p w:rsidR="005F2F8F" w:rsidRDefault="005F2F8F" w:rsidP="005F2F8F">
      <w:pPr>
        <w:pStyle w:val="BodyTextIndent3"/>
        <w:ind w:left="720"/>
        <w:jc w:val="left"/>
        <w:rPr>
          <w:rFonts w:ascii="Arial" w:hAnsi="Arial" w:cs="Arial"/>
        </w:rPr>
      </w:pPr>
    </w:p>
    <w:p w:rsidR="00354084" w:rsidRPr="00693B97" w:rsidRDefault="00E71E60" w:rsidP="00810A57">
      <w:pPr>
        <w:pStyle w:val="BodyTextIndent3"/>
        <w:numPr>
          <w:ilvl w:val="0"/>
          <w:numId w:val="16"/>
        </w:numPr>
        <w:jc w:val="left"/>
        <w:rPr>
          <w:rFonts w:ascii="Arial" w:hAnsi="Arial" w:cs="Arial"/>
        </w:rPr>
      </w:pPr>
      <w:r>
        <w:rPr>
          <w:rFonts w:ascii="Arial" w:hAnsi="Arial" w:cs="Arial"/>
        </w:rPr>
        <w:t>Overall nursing retains a positive</w:t>
      </w:r>
      <w:r w:rsidR="00354084">
        <w:rPr>
          <w:rFonts w:ascii="Arial" w:hAnsi="Arial" w:cs="Arial"/>
        </w:rPr>
        <w:t xml:space="preserve"> financial position with; cost pressure within Cardiology wards and Cath Lab </w:t>
      </w:r>
      <w:r w:rsidR="001B22F6">
        <w:rPr>
          <w:rFonts w:ascii="Arial" w:hAnsi="Arial" w:cs="Arial"/>
        </w:rPr>
        <w:t xml:space="preserve">partly offset </w:t>
      </w:r>
      <w:r w:rsidR="00354084">
        <w:rPr>
          <w:rFonts w:ascii="Arial" w:hAnsi="Arial" w:cs="Arial"/>
        </w:rPr>
        <w:t>by under-spends within Surgical Services</w:t>
      </w:r>
      <w:r>
        <w:rPr>
          <w:rFonts w:ascii="Arial" w:hAnsi="Arial" w:cs="Arial"/>
        </w:rPr>
        <w:t xml:space="preserve"> Orthopaedic wards</w:t>
      </w:r>
      <w:r w:rsidR="00A508AF">
        <w:rPr>
          <w:rFonts w:ascii="Arial" w:hAnsi="Arial" w:cs="Arial"/>
        </w:rPr>
        <w:t xml:space="preserve">  outpatients and</w:t>
      </w:r>
      <w:r w:rsidR="005F2F8F">
        <w:rPr>
          <w:rFonts w:ascii="Arial" w:hAnsi="Arial" w:cs="Arial"/>
        </w:rPr>
        <w:t xml:space="preserve"> critical care service</w:t>
      </w:r>
      <w:r w:rsidR="00354084">
        <w:rPr>
          <w:rFonts w:ascii="Arial" w:hAnsi="Arial" w:cs="Arial"/>
        </w:rPr>
        <w:t xml:space="preserve">. </w:t>
      </w:r>
    </w:p>
    <w:p w:rsidR="00354084" w:rsidRDefault="00354084" w:rsidP="006A30DD">
      <w:pPr>
        <w:pStyle w:val="BodyTextIndent3"/>
        <w:ind w:left="720"/>
        <w:jc w:val="left"/>
        <w:rPr>
          <w:rFonts w:ascii="Arial" w:hAnsi="Arial" w:cs="Arial"/>
        </w:rPr>
      </w:pPr>
    </w:p>
    <w:p w:rsidR="005F2F8F" w:rsidRDefault="005F2F8F" w:rsidP="005F2F8F">
      <w:pPr>
        <w:pStyle w:val="BodyTextIndent3"/>
        <w:numPr>
          <w:ilvl w:val="0"/>
          <w:numId w:val="32"/>
        </w:numPr>
        <w:jc w:val="left"/>
        <w:rPr>
          <w:rFonts w:ascii="Arial" w:hAnsi="Arial" w:cs="Arial"/>
        </w:rPr>
      </w:pPr>
      <w:r>
        <w:rPr>
          <w:rFonts w:ascii="Arial" w:hAnsi="Arial" w:cs="Arial"/>
        </w:rPr>
        <w:t>However the non-pays position within Core Expenditure and specifically property, plant and equipment has seen an adverse movement during January 2018. This non-pays position is as expected within budget phasing and financial plans.</w:t>
      </w:r>
    </w:p>
    <w:p w:rsidR="005F2F8F" w:rsidRDefault="005F2F8F" w:rsidP="006A30DD">
      <w:pPr>
        <w:pStyle w:val="BodyTextIndent3"/>
        <w:ind w:left="720"/>
        <w:jc w:val="left"/>
        <w:rPr>
          <w:rFonts w:ascii="Arial" w:hAnsi="Arial" w:cs="Arial"/>
        </w:rPr>
      </w:pPr>
    </w:p>
    <w:p w:rsidR="00354084" w:rsidRDefault="00354084" w:rsidP="005F2F8F">
      <w:pPr>
        <w:pStyle w:val="BodyTextIndent3"/>
        <w:numPr>
          <w:ilvl w:val="0"/>
          <w:numId w:val="16"/>
        </w:numPr>
        <w:jc w:val="left"/>
        <w:rPr>
          <w:rFonts w:ascii="Arial" w:hAnsi="Arial" w:cs="Arial"/>
        </w:rPr>
      </w:pPr>
      <w:r>
        <w:rPr>
          <w:rFonts w:ascii="Arial" w:hAnsi="Arial" w:cs="Arial"/>
        </w:rPr>
        <w:t>Surg</w:t>
      </w:r>
      <w:r w:rsidR="00C15569">
        <w:rPr>
          <w:rFonts w:ascii="Arial" w:hAnsi="Arial" w:cs="Arial"/>
        </w:rPr>
        <w:t xml:space="preserve">ical Supplies continues with </w:t>
      </w:r>
      <w:proofErr w:type="gramStart"/>
      <w:r w:rsidR="00C15569">
        <w:rPr>
          <w:rFonts w:ascii="Arial" w:hAnsi="Arial" w:cs="Arial"/>
        </w:rPr>
        <w:t xml:space="preserve">an </w:t>
      </w:r>
      <w:proofErr w:type="spellStart"/>
      <w:r>
        <w:rPr>
          <w:rFonts w:ascii="Arial" w:hAnsi="Arial" w:cs="Arial"/>
        </w:rPr>
        <w:t>underspend</w:t>
      </w:r>
      <w:proofErr w:type="spellEnd"/>
      <w:proofErr w:type="gramEnd"/>
      <w:r>
        <w:rPr>
          <w:rFonts w:ascii="Arial" w:hAnsi="Arial" w:cs="Arial"/>
        </w:rPr>
        <w:t xml:space="preserve"> mostly attributable to Theatres and Cardiology Devices as a result of planned e</w:t>
      </w:r>
      <w:r w:rsidR="00E71E60">
        <w:rPr>
          <w:rFonts w:ascii="Arial" w:hAnsi="Arial" w:cs="Arial"/>
        </w:rPr>
        <w:t>fficiency benefits</w:t>
      </w:r>
      <w:r>
        <w:rPr>
          <w:rFonts w:ascii="Arial" w:hAnsi="Arial" w:cs="Arial"/>
        </w:rPr>
        <w:t xml:space="preserve"> realised.</w:t>
      </w:r>
    </w:p>
    <w:p w:rsidR="00354084" w:rsidRPr="002E3101" w:rsidRDefault="00354084" w:rsidP="005360F9">
      <w:pPr>
        <w:pStyle w:val="BodyTextIndent2"/>
        <w:ind w:left="0"/>
        <w:jc w:val="left"/>
        <w:rPr>
          <w:rFonts w:ascii="Arial" w:hAnsi="Arial" w:cs="Arial"/>
        </w:rPr>
      </w:pPr>
    </w:p>
    <w:p w:rsidR="00354084" w:rsidRDefault="005F2F8F" w:rsidP="00255F24">
      <w:pPr>
        <w:pStyle w:val="BodyTextIndent2"/>
        <w:ind w:left="360"/>
        <w:jc w:val="left"/>
        <w:rPr>
          <w:rFonts w:ascii="Arial" w:hAnsi="Arial" w:cs="Arial"/>
        </w:rPr>
      </w:pPr>
      <w:r>
        <w:rPr>
          <w:rFonts w:ascii="Arial" w:hAnsi="Arial" w:cs="Arial"/>
        </w:rPr>
        <w:t xml:space="preserve">At this stage it is </w:t>
      </w:r>
      <w:r w:rsidR="005730C7">
        <w:rPr>
          <w:rFonts w:ascii="Arial" w:hAnsi="Arial" w:cs="Arial"/>
        </w:rPr>
        <w:t xml:space="preserve">planned </w:t>
      </w:r>
      <w:r w:rsidR="00354084" w:rsidRPr="00F551E5">
        <w:rPr>
          <w:rFonts w:ascii="Arial" w:hAnsi="Arial" w:cs="Arial"/>
        </w:rPr>
        <w:t>that the Board will achieve the target agreed with the Scottish Government Health and Social Care Directorate and in line with the Boards financial plan</w:t>
      </w:r>
      <w:r w:rsidR="005730C7">
        <w:rPr>
          <w:rFonts w:ascii="Arial" w:hAnsi="Arial" w:cs="Arial"/>
        </w:rPr>
        <w:t>s</w:t>
      </w:r>
      <w:r w:rsidR="00354084" w:rsidRPr="00F551E5">
        <w:rPr>
          <w:rFonts w:ascii="Arial" w:hAnsi="Arial" w:cs="Arial"/>
        </w:rPr>
        <w:t xml:space="preserve">.  </w:t>
      </w:r>
    </w:p>
    <w:p w:rsidR="00354084" w:rsidRDefault="00354084" w:rsidP="00255F24">
      <w:pPr>
        <w:pStyle w:val="BodyTextIndent2"/>
        <w:ind w:left="360"/>
        <w:jc w:val="left"/>
        <w:rPr>
          <w:rFonts w:ascii="Arial" w:hAnsi="Arial" w:cs="Arial"/>
        </w:rPr>
      </w:pPr>
    </w:p>
    <w:p w:rsidR="00354084" w:rsidRDefault="00354084" w:rsidP="00255F24">
      <w:pPr>
        <w:pStyle w:val="BodyTextIndent2"/>
        <w:ind w:left="360"/>
        <w:jc w:val="left"/>
        <w:rPr>
          <w:rFonts w:ascii="Arial" w:hAnsi="Arial" w:cs="Arial"/>
        </w:rPr>
      </w:pPr>
      <w:r w:rsidRPr="00F551E5">
        <w:rPr>
          <w:rFonts w:ascii="Arial" w:hAnsi="Arial" w:cs="Arial"/>
        </w:rPr>
        <w:t xml:space="preserve">The full year forecast undertaken at month </w:t>
      </w:r>
      <w:r w:rsidR="00CA22E3">
        <w:rPr>
          <w:rFonts w:ascii="Arial" w:hAnsi="Arial" w:cs="Arial"/>
        </w:rPr>
        <w:t xml:space="preserve">ten </w:t>
      </w:r>
      <w:r>
        <w:rPr>
          <w:rFonts w:ascii="Arial" w:hAnsi="Arial" w:cs="Arial"/>
        </w:rPr>
        <w:t>and monitored monthly supports</w:t>
      </w:r>
      <w:r w:rsidRPr="00F551E5">
        <w:rPr>
          <w:rFonts w:ascii="Arial" w:hAnsi="Arial" w:cs="Arial"/>
        </w:rPr>
        <w:t xml:space="preserve"> </w:t>
      </w:r>
      <w:r>
        <w:rPr>
          <w:rFonts w:ascii="Arial" w:hAnsi="Arial" w:cs="Arial"/>
        </w:rPr>
        <w:t>a</w:t>
      </w:r>
      <w:r w:rsidRPr="00F551E5">
        <w:rPr>
          <w:rFonts w:ascii="Arial" w:hAnsi="Arial" w:cs="Arial"/>
        </w:rPr>
        <w:t xml:space="preserve"> breakeven position </w:t>
      </w:r>
      <w:r>
        <w:rPr>
          <w:rFonts w:ascii="Arial" w:hAnsi="Arial" w:cs="Arial"/>
        </w:rPr>
        <w:t>will</w:t>
      </w:r>
      <w:r w:rsidRPr="00F551E5">
        <w:rPr>
          <w:rFonts w:ascii="Arial" w:hAnsi="Arial" w:cs="Arial"/>
        </w:rPr>
        <w:t xml:space="preserve"> be achieved by year-end</w:t>
      </w:r>
      <w:r>
        <w:rPr>
          <w:rFonts w:ascii="Arial" w:hAnsi="Arial" w:cs="Arial"/>
        </w:rPr>
        <w:t xml:space="preserve"> with no significant risks to highlight</w:t>
      </w:r>
      <w:r w:rsidRPr="00F551E5">
        <w:rPr>
          <w:rFonts w:ascii="Arial" w:hAnsi="Arial" w:cs="Arial"/>
        </w:rPr>
        <w:t>.</w:t>
      </w:r>
      <w:r w:rsidR="005730C7">
        <w:rPr>
          <w:rFonts w:ascii="Arial" w:hAnsi="Arial" w:cs="Arial"/>
        </w:rPr>
        <w:t xml:space="preserve"> </w:t>
      </w:r>
    </w:p>
    <w:p w:rsidR="00B03BB8" w:rsidRPr="00F551E5" w:rsidRDefault="00B03BB8" w:rsidP="00255F24">
      <w:pPr>
        <w:pStyle w:val="BodyTextIndent2"/>
        <w:ind w:left="360"/>
        <w:jc w:val="left"/>
        <w:rPr>
          <w:rFonts w:ascii="Arial" w:hAnsi="Arial" w:cs="Arial"/>
        </w:rPr>
      </w:pPr>
    </w:p>
    <w:p w:rsidR="00B03BB8" w:rsidRDefault="00B03BB8" w:rsidP="00B03BB8">
      <w:pPr>
        <w:pStyle w:val="Heading4"/>
        <w:numPr>
          <w:ilvl w:val="0"/>
          <w:numId w:val="3"/>
        </w:numPr>
        <w:rPr>
          <w:rFonts w:ascii="Arial" w:hAnsi="Arial" w:cs="Arial"/>
        </w:rPr>
      </w:pPr>
      <w:r>
        <w:rPr>
          <w:rFonts w:ascii="Arial" w:hAnsi="Arial" w:cs="Arial"/>
        </w:rPr>
        <w:t xml:space="preserve">Financial Planning 2018/19 </w:t>
      </w:r>
    </w:p>
    <w:p w:rsidR="00B03BB8" w:rsidRDefault="00B03BB8" w:rsidP="00B03BB8"/>
    <w:p w:rsidR="005730C7" w:rsidRDefault="005730C7" w:rsidP="001B5C7E">
      <w:pPr>
        <w:ind w:right="-514"/>
        <w:rPr>
          <w:rFonts w:ascii="Arial" w:hAnsi="Arial" w:cs="Arial"/>
          <w:bCs/>
          <w:iCs/>
        </w:rPr>
      </w:pPr>
      <w:r>
        <w:rPr>
          <w:rFonts w:ascii="Arial" w:hAnsi="Arial" w:cs="Arial"/>
          <w:bCs/>
          <w:iCs/>
        </w:rPr>
        <w:t>The Board has presented both the draft Annual operational plan and associated 1 year 2018/19 Financial plan summary report to the January SMT, both of which were approved subject to some minor changes.</w:t>
      </w:r>
    </w:p>
    <w:p w:rsidR="005730C7" w:rsidRDefault="005730C7" w:rsidP="001B5C7E">
      <w:pPr>
        <w:ind w:right="-514"/>
        <w:rPr>
          <w:rFonts w:ascii="Arial" w:hAnsi="Arial" w:cs="Arial"/>
          <w:bCs/>
          <w:iCs/>
        </w:rPr>
      </w:pPr>
    </w:p>
    <w:p w:rsidR="00354084" w:rsidRDefault="005730C7" w:rsidP="001B5C7E">
      <w:pPr>
        <w:ind w:right="-514"/>
        <w:rPr>
          <w:rFonts w:ascii="Arial" w:hAnsi="Arial" w:cs="Arial"/>
          <w:bCs/>
          <w:iCs/>
        </w:rPr>
      </w:pPr>
      <w:r>
        <w:rPr>
          <w:rFonts w:ascii="Arial" w:hAnsi="Arial" w:cs="Arial"/>
          <w:bCs/>
          <w:iCs/>
        </w:rPr>
        <w:t xml:space="preserve">In addition to the above the Board are required to submit </w:t>
      </w:r>
      <w:r w:rsidR="00BB41A5">
        <w:rPr>
          <w:rFonts w:ascii="Arial" w:hAnsi="Arial" w:cs="Arial"/>
          <w:bCs/>
          <w:iCs/>
        </w:rPr>
        <w:t xml:space="preserve">initial </w:t>
      </w:r>
      <w:r>
        <w:rPr>
          <w:rFonts w:ascii="Arial" w:hAnsi="Arial" w:cs="Arial"/>
          <w:bCs/>
          <w:iCs/>
        </w:rPr>
        <w:t>approved templates to Scottish Government with the following financial plan information by 9</w:t>
      </w:r>
      <w:r w:rsidRPr="005730C7">
        <w:rPr>
          <w:rFonts w:ascii="Arial" w:hAnsi="Arial" w:cs="Arial"/>
          <w:bCs/>
          <w:iCs/>
          <w:vertAlign w:val="superscript"/>
        </w:rPr>
        <w:t>th</w:t>
      </w:r>
      <w:r>
        <w:rPr>
          <w:rFonts w:ascii="Arial" w:hAnsi="Arial" w:cs="Arial"/>
          <w:bCs/>
          <w:iCs/>
        </w:rPr>
        <w:t xml:space="preserve"> March 2018;</w:t>
      </w:r>
    </w:p>
    <w:p w:rsidR="005730C7" w:rsidRDefault="005730C7" w:rsidP="001B5C7E">
      <w:pPr>
        <w:ind w:right="-514"/>
        <w:rPr>
          <w:rFonts w:ascii="Arial" w:hAnsi="Arial" w:cs="Arial"/>
          <w:bCs/>
          <w:iCs/>
        </w:rPr>
      </w:pPr>
    </w:p>
    <w:p w:rsidR="005730C7" w:rsidRDefault="005730C7" w:rsidP="005730C7">
      <w:pPr>
        <w:pStyle w:val="ListParagraph"/>
        <w:numPr>
          <w:ilvl w:val="0"/>
          <w:numId w:val="16"/>
        </w:numPr>
        <w:ind w:right="-514"/>
        <w:rPr>
          <w:rFonts w:ascii="Arial" w:hAnsi="Arial" w:cs="Arial"/>
          <w:bCs/>
          <w:iCs/>
          <w:sz w:val="24"/>
          <w:szCs w:val="24"/>
        </w:rPr>
      </w:pPr>
      <w:r w:rsidRPr="005730C7">
        <w:rPr>
          <w:rFonts w:ascii="Arial" w:hAnsi="Arial" w:cs="Arial"/>
          <w:bCs/>
          <w:iCs/>
          <w:sz w:val="24"/>
          <w:szCs w:val="24"/>
        </w:rPr>
        <w:t xml:space="preserve">Scottish Government 2018/19 </w:t>
      </w:r>
      <w:r w:rsidR="00BB41A5">
        <w:rPr>
          <w:rFonts w:ascii="Arial" w:hAnsi="Arial" w:cs="Arial"/>
          <w:bCs/>
          <w:iCs/>
          <w:sz w:val="24"/>
          <w:szCs w:val="24"/>
        </w:rPr>
        <w:t xml:space="preserve">Core </w:t>
      </w:r>
      <w:r w:rsidRPr="005730C7">
        <w:rPr>
          <w:rFonts w:ascii="Arial" w:hAnsi="Arial" w:cs="Arial"/>
          <w:bCs/>
          <w:iCs/>
          <w:sz w:val="24"/>
          <w:szCs w:val="24"/>
        </w:rPr>
        <w:t>RRL funding plan, split between recurring and non-recurring funding</w:t>
      </w:r>
    </w:p>
    <w:p w:rsidR="004C0890" w:rsidRPr="005730C7" w:rsidRDefault="004C0890" w:rsidP="005730C7">
      <w:pPr>
        <w:pStyle w:val="ListParagraph"/>
        <w:numPr>
          <w:ilvl w:val="0"/>
          <w:numId w:val="16"/>
        </w:numPr>
        <w:ind w:right="-514"/>
        <w:rPr>
          <w:rFonts w:ascii="Arial" w:hAnsi="Arial" w:cs="Arial"/>
          <w:bCs/>
          <w:iCs/>
          <w:sz w:val="24"/>
          <w:szCs w:val="24"/>
        </w:rPr>
      </w:pPr>
      <w:r w:rsidRPr="005730C7">
        <w:rPr>
          <w:rFonts w:ascii="Arial" w:hAnsi="Arial" w:cs="Arial"/>
          <w:bCs/>
          <w:iCs/>
          <w:sz w:val="24"/>
          <w:szCs w:val="24"/>
        </w:rPr>
        <w:t xml:space="preserve">2018/19 </w:t>
      </w:r>
      <w:r>
        <w:rPr>
          <w:rFonts w:ascii="Arial" w:hAnsi="Arial" w:cs="Arial"/>
          <w:bCs/>
          <w:iCs/>
          <w:sz w:val="24"/>
          <w:szCs w:val="24"/>
        </w:rPr>
        <w:t>None-Core RRL expenditure</w:t>
      </w:r>
      <w:r w:rsidRPr="005730C7">
        <w:rPr>
          <w:rFonts w:ascii="Arial" w:hAnsi="Arial" w:cs="Arial"/>
          <w:bCs/>
          <w:iCs/>
          <w:sz w:val="24"/>
          <w:szCs w:val="24"/>
        </w:rPr>
        <w:t xml:space="preserve"> plan, </w:t>
      </w:r>
      <w:r>
        <w:rPr>
          <w:rFonts w:ascii="Arial" w:hAnsi="Arial" w:cs="Arial"/>
          <w:bCs/>
          <w:iCs/>
          <w:sz w:val="24"/>
          <w:szCs w:val="24"/>
        </w:rPr>
        <w:t xml:space="preserve"> with a split showing</w:t>
      </w:r>
      <w:r w:rsidRPr="005730C7">
        <w:rPr>
          <w:rFonts w:ascii="Arial" w:hAnsi="Arial" w:cs="Arial"/>
          <w:bCs/>
          <w:iCs/>
          <w:sz w:val="24"/>
          <w:szCs w:val="24"/>
        </w:rPr>
        <w:t xml:space="preserve"> </w:t>
      </w:r>
      <w:r>
        <w:rPr>
          <w:rFonts w:ascii="Arial" w:hAnsi="Arial" w:cs="Arial"/>
          <w:bCs/>
          <w:iCs/>
          <w:sz w:val="24"/>
          <w:szCs w:val="24"/>
        </w:rPr>
        <w:t>non-recurring</w:t>
      </w:r>
    </w:p>
    <w:p w:rsidR="005730C7" w:rsidRDefault="005730C7" w:rsidP="005730C7">
      <w:pPr>
        <w:pStyle w:val="ListParagraph"/>
        <w:numPr>
          <w:ilvl w:val="0"/>
          <w:numId w:val="16"/>
        </w:numPr>
        <w:ind w:right="-514"/>
        <w:rPr>
          <w:rFonts w:ascii="Arial" w:hAnsi="Arial" w:cs="Arial"/>
          <w:bCs/>
          <w:iCs/>
          <w:sz w:val="24"/>
          <w:szCs w:val="24"/>
        </w:rPr>
      </w:pPr>
      <w:r w:rsidRPr="005730C7">
        <w:rPr>
          <w:rFonts w:ascii="Arial" w:hAnsi="Arial" w:cs="Arial"/>
          <w:bCs/>
          <w:iCs/>
          <w:sz w:val="24"/>
          <w:szCs w:val="24"/>
        </w:rPr>
        <w:t>Eff</w:t>
      </w:r>
      <w:r w:rsidR="004C0890">
        <w:rPr>
          <w:rFonts w:ascii="Arial" w:hAnsi="Arial" w:cs="Arial"/>
          <w:bCs/>
          <w:iCs/>
          <w:sz w:val="24"/>
          <w:szCs w:val="24"/>
        </w:rPr>
        <w:t>iciency savings target for</w:t>
      </w:r>
      <w:r w:rsidRPr="005730C7">
        <w:rPr>
          <w:rFonts w:ascii="Arial" w:hAnsi="Arial" w:cs="Arial"/>
          <w:bCs/>
          <w:iCs/>
          <w:sz w:val="24"/>
          <w:szCs w:val="24"/>
        </w:rPr>
        <w:t xml:space="preserve"> 2018/19 </w:t>
      </w:r>
      <w:r w:rsidR="00BB41A5" w:rsidRPr="00BB41A5">
        <w:rPr>
          <w:rFonts w:ascii="Arial" w:hAnsi="Arial" w:cs="Arial"/>
          <w:bCs/>
          <w:iCs/>
          <w:sz w:val="24"/>
          <w:szCs w:val="24"/>
        </w:rPr>
        <w:t xml:space="preserve">this includes new guidance on the reporting of efficiency savings </w:t>
      </w:r>
      <w:r w:rsidR="00BB41A5">
        <w:rPr>
          <w:rFonts w:ascii="Arial" w:hAnsi="Arial" w:cs="Arial"/>
          <w:bCs/>
          <w:iCs/>
          <w:sz w:val="24"/>
          <w:szCs w:val="24"/>
        </w:rPr>
        <w:t>to ensure consistency across Boards. This is summarised below;</w:t>
      </w:r>
    </w:p>
    <w:p w:rsidR="00BB41A5" w:rsidRDefault="00BB41A5" w:rsidP="00BB41A5">
      <w:pPr>
        <w:pStyle w:val="ListParagraph"/>
        <w:numPr>
          <w:ilvl w:val="1"/>
          <w:numId w:val="16"/>
        </w:numPr>
        <w:ind w:right="-514"/>
        <w:rPr>
          <w:rFonts w:ascii="Arial" w:hAnsi="Arial" w:cs="Arial"/>
          <w:bCs/>
          <w:iCs/>
          <w:sz w:val="24"/>
          <w:szCs w:val="24"/>
        </w:rPr>
      </w:pPr>
      <w:r>
        <w:rPr>
          <w:rFonts w:ascii="Arial" w:hAnsi="Arial" w:cs="Arial"/>
          <w:bCs/>
          <w:iCs/>
          <w:sz w:val="24"/>
          <w:szCs w:val="24"/>
        </w:rPr>
        <w:t>Total savings requirement should equate to the gap between the total funding and income the Board receives and its planned expenditure. This should be split between recurring and non-recurring.</w:t>
      </w:r>
    </w:p>
    <w:p w:rsidR="00BB41A5" w:rsidRDefault="00BB41A5" w:rsidP="00BB41A5">
      <w:pPr>
        <w:pStyle w:val="ListParagraph"/>
        <w:numPr>
          <w:ilvl w:val="1"/>
          <w:numId w:val="16"/>
        </w:numPr>
        <w:ind w:right="-514"/>
        <w:rPr>
          <w:rFonts w:ascii="Arial" w:hAnsi="Arial" w:cs="Arial"/>
          <w:bCs/>
          <w:iCs/>
          <w:sz w:val="24"/>
          <w:szCs w:val="24"/>
        </w:rPr>
      </w:pPr>
      <w:r>
        <w:rPr>
          <w:rFonts w:ascii="Arial" w:hAnsi="Arial" w:cs="Arial"/>
          <w:bCs/>
          <w:iCs/>
          <w:sz w:val="24"/>
          <w:szCs w:val="24"/>
        </w:rPr>
        <w:t xml:space="preserve"> 2018-19 planned savings identified between recurring and non-recurring</w:t>
      </w:r>
      <w:r w:rsidR="004C0890">
        <w:rPr>
          <w:rFonts w:ascii="Arial" w:hAnsi="Arial" w:cs="Arial"/>
          <w:bCs/>
          <w:iCs/>
          <w:sz w:val="24"/>
          <w:szCs w:val="24"/>
        </w:rPr>
        <w:t xml:space="preserve"> forecast variance against core RRL</w:t>
      </w:r>
    </w:p>
    <w:p w:rsidR="00BB41A5" w:rsidRPr="00AC3356" w:rsidRDefault="00BB41A5" w:rsidP="00BB41A5">
      <w:pPr>
        <w:pStyle w:val="ListParagraph"/>
        <w:numPr>
          <w:ilvl w:val="1"/>
          <w:numId w:val="16"/>
        </w:numPr>
        <w:ind w:right="-514"/>
        <w:rPr>
          <w:rFonts w:ascii="Arial" w:hAnsi="Arial" w:cs="Arial"/>
          <w:bCs/>
          <w:iCs/>
          <w:sz w:val="24"/>
          <w:szCs w:val="24"/>
        </w:rPr>
      </w:pPr>
      <w:r w:rsidRPr="00AC3356">
        <w:rPr>
          <w:rFonts w:ascii="Arial" w:hAnsi="Arial" w:cs="Arial"/>
          <w:bCs/>
          <w:iCs/>
          <w:sz w:val="24"/>
          <w:szCs w:val="24"/>
        </w:rPr>
        <w:t>20</w:t>
      </w:r>
      <w:r w:rsidR="004C0890" w:rsidRPr="00AC3356">
        <w:rPr>
          <w:rFonts w:ascii="Arial" w:hAnsi="Arial" w:cs="Arial"/>
          <w:bCs/>
          <w:iCs/>
          <w:sz w:val="24"/>
          <w:szCs w:val="24"/>
        </w:rPr>
        <w:t>1</w:t>
      </w:r>
      <w:r w:rsidRPr="00AC3356">
        <w:rPr>
          <w:rFonts w:ascii="Arial" w:hAnsi="Arial" w:cs="Arial"/>
          <w:bCs/>
          <w:iCs/>
          <w:sz w:val="24"/>
          <w:szCs w:val="24"/>
        </w:rPr>
        <w:t>8-19 savings required to breakeven</w:t>
      </w:r>
      <w:r w:rsidR="004C0890" w:rsidRPr="00AC3356">
        <w:rPr>
          <w:rFonts w:ascii="Arial" w:hAnsi="Arial" w:cs="Arial"/>
          <w:bCs/>
          <w:iCs/>
          <w:sz w:val="24"/>
          <w:szCs w:val="24"/>
        </w:rPr>
        <w:t xml:space="preserve"> (difference between above two bullets)</w:t>
      </w:r>
    </w:p>
    <w:p w:rsidR="004C0890" w:rsidRDefault="004C0890" w:rsidP="00BB41A5">
      <w:pPr>
        <w:pStyle w:val="ListParagraph"/>
        <w:numPr>
          <w:ilvl w:val="1"/>
          <w:numId w:val="16"/>
        </w:numPr>
        <w:ind w:right="-514"/>
        <w:rPr>
          <w:rFonts w:ascii="Arial" w:hAnsi="Arial" w:cs="Arial"/>
          <w:bCs/>
          <w:iCs/>
          <w:sz w:val="24"/>
          <w:szCs w:val="24"/>
        </w:rPr>
      </w:pPr>
      <w:r>
        <w:rPr>
          <w:rFonts w:ascii="Arial" w:hAnsi="Arial" w:cs="Arial"/>
          <w:bCs/>
          <w:iCs/>
          <w:sz w:val="24"/>
          <w:szCs w:val="24"/>
        </w:rPr>
        <w:t>Savings shown as a % of baseline funding</w:t>
      </w:r>
    </w:p>
    <w:p w:rsidR="004C0890" w:rsidRDefault="004C0890" w:rsidP="00BB41A5">
      <w:pPr>
        <w:pStyle w:val="ListParagraph"/>
        <w:numPr>
          <w:ilvl w:val="1"/>
          <w:numId w:val="16"/>
        </w:numPr>
        <w:ind w:right="-514"/>
        <w:rPr>
          <w:rFonts w:ascii="Arial" w:hAnsi="Arial" w:cs="Arial"/>
          <w:bCs/>
          <w:iCs/>
          <w:sz w:val="24"/>
          <w:szCs w:val="24"/>
        </w:rPr>
      </w:pPr>
      <w:r>
        <w:rPr>
          <w:rFonts w:ascii="Arial" w:hAnsi="Arial" w:cs="Arial"/>
          <w:bCs/>
          <w:iCs/>
          <w:sz w:val="24"/>
          <w:szCs w:val="24"/>
        </w:rPr>
        <w:t>Planned savings  to be analysed into the following saving types, Service Redesign, Drugs and Prescribing, Workforce, Procurement, Infrastructure and Other in addition to recurring and non-recurring and High, medium and Low risk ratings.</w:t>
      </w:r>
    </w:p>
    <w:p w:rsidR="00BD0502" w:rsidRDefault="00BD0502" w:rsidP="00BD0502">
      <w:pPr>
        <w:pStyle w:val="ListParagraph"/>
        <w:numPr>
          <w:ilvl w:val="0"/>
          <w:numId w:val="16"/>
        </w:numPr>
        <w:ind w:right="-514"/>
        <w:rPr>
          <w:rFonts w:ascii="Arial" w:hAnsi="Arial" w:cs="Arial"/>
          <w:bCs/>
          <w:iCs/>
          <w:sz w:val="24"/>
          <w:szCs w:val="24"/>
        </w:rPr>
      </w:pPr>
      <w:r>
        <w:rPr>
          <w:rFonts w:ascii="Arial" w:hAnsi="Arial" w:cs="Arial"/>
          <w:bCs/>
          <w:iCs/>
          <w:sz w:val="24"/>
          <w:szCs w:val="24"/>
        </w:rPr>
        <w:t>Financial trajectories from June 2018 to March 2019 for both Core RRL outturn and Cumulative value of efficiency savings</w:t>
      </w:r>
    </w:p>
    <w:p w:rsidR="005730C7" w:rsidRDefault="005730C7" w:rsidP="005730C7">
      <w:pPr>
        <w:pStyle w:val="ListParagraph"/>
        <w:numPr>
          <w:ilvl w:val="0"/>
          <w:numId w:val="16"/>
        </w:numPr>
        <w:ind w:right="-514"/>
        <w:rPr>
          <w:rFonts w:ascii="Arial" w:hAnsi="Arial" w:cs="Arial"/>
          <w:bCs/>
          <w:iCs/>
          <w:sz w:val="24"/>
          <w:szCs w:val="24"/>
        </w:rPr>
      </w:pPr>
      <w:r w:rsidRPr="005730C7">
        <w:rPr>
          <w:rFonts w:ascii="Arial" w:hAnsi="Arial" w:cs="Arial"/>
          <w:bCs/>
          <w:iCs/>
          <w:sz w:val="24"/>
          <w:szCs w:val="24"/>
        </w:rPr>
        <w:lastRenderedPageBreak/>
        <w:t xml:space="preserve">Scottish Government 2018/19 </w:t>
      </w:r>
      <w:r>
        <w:rPr>
          <w:rFonts w:ascii="Arial" w:hAnsi="Arial" w:cs="Arial"/>
          <w:bCs/>
          <w:iCs/>
          <w:sz w:val="24"/>
          <w:szCs w:val="24"/>
        </w:rPr>
        <w:t>C</w:t>
      </w:r>
      <w:r w:rsidRPr="005730C7">
        <w:rPr>
          <w:rFonts w:ascii="Arial" w:hAnsi="Arial" w:cs="Arial"/>
          <w:bCs/>
          <w:iCs/>
          <w:sz w:val="24"/>
          <w:szCs w:val="24"/>
        </w:rPr>
        <w:t xml:space="preserve">RL funding plan, split between </w:t>
      </w:r>
      <w:r>
        <w:rPr>
          <w:rFonts w:ascii="Arial" w:hAnsi="Arial" w:cs="Arial"/>
          <w:bCs/>
          <w:iCs/>
          <w:sz w:val="24"/>
          <w:szCs w:val="24"/>
        </w:rPr>
        <w:t xml:space="preserve">Capital </w:t>
      </w:r>
      <w:r w:rsidRPr="005730C7">
        <w:rPr>
          <w:rFonts w:ascii="Arial" w:hAnsi="Arial" w:cs="Arial"/>
          <w:bCs/>
          <w:iCs/>
          <w:sz w:val="24"/>
          <w:szCs w:val="24"/>
        </w:rPr>
        <w:t>funding</w:t>
      </w:r>
      <w:r>
        <w:rPr>
          <w:rFonts w:ascii="Arial" w:hAnsi="Arial" w:cs="Arial"/>
          <w:bCs/>
          <w:iCs/>
          <w:sz w:val="24"/>
          <w:szCs w:val="24"/>
        </w:rPr>
        <w:t xml:space="preserve"> routes</w:t>
      </w:r>
    </w:p>
    <w:p w:rsidR="00B30350" w:rsidRPr="005730C7" w:rsidRDefault="00B30350" w:rsidP="005730C7">
      <w:pPr>
        <w:pStyle w:val="ListParagraph"/>
        <w:numPr>
          <w:ilvl w:val="0"/>
          <w:numId w:val="16"/>
        </w:numPr>
        <w:ind w:right="-514"/>
        <w:rPr>
          <w:rFonts w:ascii="Arial" w:hAnsi="Arial" w:cs="Arial"/>
          <w:bCs/>
          <w:iCs/>
          <w:sz w:val="24"/>
          <w:szCs w:val="24"/>
        </w:rPr>
      </w:pPr>
      <w:r>
        <w:rPr>
          <w:rFonts w:ascii="Arial" w:hAnsi="Arial" w:cs="Arial"/>
          <w:bCs/>
          <w:iCs/>
          <w:sz w:val="24"/>
          <w:szCs w:val="24"/>
        </w:rPr>
        <w:t xml:space="preserve">Financial Plan Assumptions and risks – listing the key items in relation to both these areas and the </w:t>
      </w:r>
      <w:r w:rsidR="00706FFF">
        <w:rPr>
          <w:rFonts w:ascii="Arial" w:hAnsi="Arial" w:cs="Arial"/>
          <w:bCs/>
          <w:iCs/>
          <w:sz w:val="24"/>
          <w:szCs w:val="24"/>
        </w:rPr>
        <w:t xml:space="preserve">financial </w:t>
      </w:r>
      <w:r>
        <w:rPr>
          <w:rFonts w:ascii="Arial" w:hAnsi="Arial" w:cs="Arial"/>
          <w:bCs/>
          <w:iCs/>
          <w:sz w:val="24"/>
          <w:szCs w:val="24"/>
        </w:rPr>
        <w:t>value and risk rating associated with these</w:t>
      </w:r>
    </w:p>
    <w:p w:rsidR="00354084" w:rsidRDefault="00FE43C1" w:rsidP="00D05D56">
      <w:pPr>
        <w:ind w:left="360" w:right="-514"/>
        <w:rPr>
          <w:rFonts w:ascii="Arial" w:hAnsi="Arial" w:cs="Arial"/>
          <w:bCs/>
          <w:iCs/>
        </w:rPr>
      </w:pPr>
      <w:r>
        <w:rPr>
          <w:rFonts w:ascii="Arial" w:hAnsi="Arial" w:cs="Arial"/>
          <w:bCs/>
          <w:iCs/>
        </w:rPr>
        <w:t>The final financial plan document will be finalised and submitted</w:t>
      </w:r>
      <w:r w:rsidR="00BD0502">
        <w:rPr>
          <w:rFonts w:ascii="Arial" w:hAnsi="Arial" w:cs="Arial"/>
          <w:bCs/>
          <w:iCs/>
        </w:rPr>
        <w:t xml:space="preserve"> to Scottish Government</w:t>
      </w:r>
      <w:r>
        <w:rPr>
          <w:rFonts w:ascii="Arial" w:hAnsi="Arial" w:cs="Arial"/>
          <w:bCs/>
          <w:iCs/>
        </w:rPr>
        <w:t xml:space="preserve"> by the end of March 2018.</w:t>
      </w:r>
    </w:p>
    <w:p w:rsidR="00D05D56" w:rsidRDefault="00D05D56" w:rsidP="00FC4EAC">
      <w:pPr>
        <w:ind w:right="-514"/>
        <w:rPr>
          <w:rFonts w:ascii="Arial" w:hAnsi="Arial" w:cs="Arial"/>
          <w:bCs/>
          <w:iCs/>
        </w:rPr>
      </w:pPr>
    </w:p>
    <w:p w:rsidR="00D05D56" w:rsidRPr="00170765" w:rsidRDefault="00D05D56" w:rsidP="00D05D56">
      <w:pPr>
        <w:pStyle w:val="Heading4"/>
        <w:numPr>
          <w:ilvl w:val="0"/>
          <w:numId w:val="3"/>
        </w:numPr>
        <w:rPr>
          <w:rFonts w:ascii="Arial" w:hAnsi="Arial" w:cs="Arial"/>
        </w:rPr>
      </w:pPr>
      <w:r w:rsidRPr="00170765">
        <w:rPr>
          <w:rFonts w:ascii="Arial" w:hAnsi="Arial" w:cs="Arial"/>
        </w:rPr>
        <w:t>Year-end</w:t>
      </w:r>
      <w:r>
        <w:rPr>
          <w:rFonts w:ascii="Arial" w:hAnsi="Arial" w:cs="Arial"/>
        </w:rPr>
        <w:t xml:space="preserve"> Processing</w:t>
      </w:r>
    </w:p>
    <w:p w:rsidR="00D05D56" w:rsidRDefault="00D05D56" w:rsidP="00D05D56">
      <w:pPr>
        <w:ind w:left="360"/>
        <w:rPr>
          <w:rFonts w:ascii="Arial" w:hAnsi="Arial" w:cs="Arial"/>
        </w:rPr>
      </w:pPr>
    </w:p>
    <w:p w:rsidR="00D05D56" w:rsidRDefault="00D05D56" w:rsidP="00D05D56">
      <w:pPr>
        <w:ind w:left="360"/>
        <w:rPr>
          <w:rFonts w:ascii="Arial" w:hAnsi="Arial" w:cs="Arial"/>
        </w:rPr>
      </w:pPr>
      <w:r>
        <w:rPr>
          <w:rFonts w:ascii="Arial" w:hAnsi="Arial" w:cs="Arial"/>
        </w:rPr>
        <w:t>As in prior years we have issued deadlines for processing goods and invoices for year-end, these have been summarised below:</w:t>
      </w:r>
    </w:p>
    <w:p w:rsidR="00D05D56" w:rsidRDefault="00D05D56" w:rsidP="00D05D56">
      <w:pPr>
        <w:ind w:left="360"/>
        <w:rPr>
          <w:rFonts w:ascii="Arial" w:hAnsi="Arial" w:cs="Arial"/>
        </w:rPr>
      </w:pPr>
    </w:p>
    <w:p w:rsidR="00D05D56" w:rsidRPr="004A1042" w:rsidRDefault="00D05D56" w:rsidP="0044116A">
      <w:pPr>
        <w:ind w:left="360"/>
        <w:rPr>
          <w:rFonts w:ascii="Arial" w:hAnsi="Arial" w:cs="Arial"/>
        </w:rPr>
      </w:pPr>
      <w:r w:rsidRPr="004A1042">
        <w:rPr>
          <w:rFonts w:ascii="Arial" w:hAnsi="Arial" w:cs="Arial"/>
          <w:b/>
          <w:bCs/>
        </w:rPr>
        <w:t>Invoices</w:t>
      </w:r>
      <w:r w:rsidRPr="004A1042">
        <w:rPr>
          <w:rFonts w:ascii="Arial" w:hAnsi="Arial" w:cs="Arial"/>
        </w:rPr>
        <w:t xml:space="preserve"> –</w:t>
      </w:r>
      <w:r>
        <w:rPr>
          <w:rFonts w:ascii="Arial" w:hAnsi="Arial" w:cs="Arial"/>
        </w:rPr>
        <w:t xml:space="preserve"> </w:t>
      </w:r>
      <w:r w:rsidRPr="004A1042">
        <w:rPr>
          <w:rFonts w:ascii="Arial" w:hAnsi="Arial" w:cs="Arial"/>
        </w:rPr>
        <w:t xml:space="preserve">all invoices </w:t>
      </w:r>
      <w:r>
        <w:rPr>
          <w:rFonts w:ascii="Arial" w:hAnsi="Arial" w:cs="Arial"/>
        </w:rPr>
        <w:t xml:space="preserve">require </w:t>
      </w:r>
      <w:proofErr w:type="gramStart"/>
      <w:r>
        <w:rPr>
          <w:rFonts w:ascii="Arial" w:hAnsi="Arial" w:cs="Arial"/>
        </w:rPr>
        <w:t>to be</w:t>
      </w:r>
      <w:proofErr w:type="gramEnd"/>
      <w:r w:rsidRPr="004A1042">
        <w:rPr>
          <w:rFonts w:ascii="Arial" w:hAnsi="Arial" w:cs="Arial"/>
        </w:rPr>
        <w:t xml:space="preserve"> with the finance department for payment by 2</w:t>
      </w:r>
      <w:r w:rsidR="0044116A">
        <w:rPr>
          <w:rFonts w:ascii="Arial" w:hAnsi="Arial" w:cs="Arial"/>
        </w:rPr>
        <w:t>6</w:t>
      </w:r>
      <w:r w:rsidRPr="004A1042">
        <w:rPr>
          <w:rFonts w:ascii="Arial" w:hAnsi="Arial" w:cs="Arial"/>
        </w:rPr>
        <w:t xml:space="preserve"> March to ensure sufficient time for processing before year-end</w:t>
      </w:r>
      <w:r>
        <w:rPr>
          <w:rFonts w:ascii="Arial" w:hAnsi="Arial" w:cs="Arial"/>
        </w:rPr>
        <w:t>;</w:t>
      </w:r>
    </w:p>
    <w:p w:rsidR="00D05D56" w:rsidRPr="004A1042" w:rsidRDefault="00D05D56" w:rsidP="00D05D56">
      <w:pPr>
        <w:ind w:left="360"/>
        <w:rPr>
          <w:rFonts w:ascii="Arial" w:hAnsi="Arial" w:cs="Arial"/>
        </w:rPr>
      </w:pPr>
      <w:r w:rsidRPr="004A1042">
        <w:rPr>
          <w:rFonts w:ascii="Arial" w:hAnsi="Arial" w:cs="Arial"/>
          <w:b/>
          <w:bCs/>
        </w:rPr>
        <w:t xml:space="preserve">Non-recurring </w:t>
      </w:r>
      <w:r w:rsidRPr="004A1042">
        <w:rPr>
          <w:rFonts w:ascii="Arial" w:hAnsi="Arial" w:cs="Arial"/>
        </w:rPr>
        <w:t>–</w:t>
      </w:r>
      <w:r>
        <w:rPr>
          <w:rFonts w:ascii="Arial" w:hAnsi="Arial" w:cs="Arial"/>
        </w:rPr>
        <w:t xml:space="preserve"> </w:t>
      </w:r>
      <w:r w:rsidRPr="004A1042">
        <w:rPr>
          <w:rFonts w:ascii="Arial" w:hAnsi="Arial" w:cs="Arial"/>
        </w:rPr>
        <w:t xml:space="preserve">all non-recurring items </w:t>
      </w:r>
      <w:r>
        <w:rPr>
          <w:rFonts w:ascii="Arial" w:hAnsi="Arial" w:cs="Arial"/>
        </w:rPr>
        <w:t>require to be receipted</w:t>
      </w:r>
      <w:r w:rsidRPr="004A1042">
        <w:rPr>
          <w:rFonts w:ascii="Arial" w:hAnsi="Arial" w:cs="Arial"/>
        </w:rPr>
        <w:t xml:space="preserve"> by 2</w:t>
      </w:r>
      <w:r w:rsidR="0044116A">
        <w:rPr>
          <w:rFonts w:ascii="Arial" w:hAnsi="Arial" w:cs="Arial"/>
        </w:rPr>
        <w:t>6</w:t>
      </w:r>
      <w:r w:rsidRPr="004A1042">
        <w:rPr>
          <w:rFonts w:ascii="Arial" w:hAnsi="Arial" w:cs="Arial"/>
        </w:rPr>
        <w:t xml:space="preserve"> March and invoiced for payment (managers will </w:t>
      </w:r>
      <w:r>
        <w:rPr>
          <w:rFonts w:ascii="Arial" w:hAnsi="Arial" w:cs="Arial"/>
        </w:rPr>
        <w:t>require be</w:t>
      </w:r>
      <w:r w:rsidRPr="004A1042">
        <w:rPr>
          <w:rFonts w:ascii="Arial" w:hAnsi="Arial" w:cs="Arial"/>
        </w:rPr>
        <w:t xml:space="preserve"> to </w:t>
      </w:r>
      <w:r>
        <w:rPr>
          <w:rFonts w:ascii="Arial" w:hAnsi="Arial" w:cs="Arial"/>
        </w:rPr>
        <w:t xml:space="preserve">have </w:t>
      </w:r>
      <w:r w:rsidRPr="004A1042">
        <w:rPr>
          <w:rFonts w:ascii="Arial" w:hAnsi="Arial" w:cs="Arial"/>
        </w:rPr>
        <w:t xml:space="preserve">notified procurement that items have been received), any items from this year’s non-recurring allocation not accounted for in </w:t>
      </w:r>
      <w:r w:rsidR="0044116A">
        <w:rPr>
          <w:rFonts w:ascii="Arial" w:hAnsi="Arial" w:cs="Arial"/>
        </w:rPr>
        <w:t xml:space="preserve">2017/18 </w:t>
      </w:r>
      <w:r w:rsidRPr="004A1042">
        <w:rPr>
          <w:rFonts w:ascii="Arial" w:hAnsi="Arial" w:cs="Arial"/>
        </w:rPr>
        <w:t>will be charged to the relevant department cost centre in the next financial year</w:t>
      </w:r>
      <w:r>
        <w:rPr>
          <w:rFonts w:ascii="Arial" w:hAnsi="Arial" w:cs="Arial"/>
        </w:rPr>
        <w:t>; and</w:t>
      </w:r>
    </w:p>
    <w:p w:rsidR="00D05D56" w:rsidRDefault="00D05D56" w:rsidP="00D05D56">
      <w:pPr>
        <w:ind w:left="360"/>
        <w:rPr>
          <w:rFonts w:ascii="Arial" w:hAnsi="Arial" w:cs="Arial"/>
        </w:rPr>
      </w:pPr>
      <w:r w:rsidRPr="004A1042">
        <w:rPr>
          <w:rFonts w:ascii="Arial" w:hAnsi="Arial" w:cs="Arial"/>
          <w:b/>
          <w:bCs/>
        </w:rPr>
        <w:t>Capital</w:t>
      </w:r>
      <w:r w:rsidRPr="004A1042">
        <w:rPr>
          <w:rFonts w:ascii="Arial" w:hAnsi="Arial" w:cs="Arial"/>
        </w:rPr>
        <w:t xml:space="preserve"> – as with non-recurring money procurement </w:t>
      </w:r>
      <w:r>
        <w:rPr>
          <w:rFonts w:ascii="Arial" w:hAnsi="Arial" w:cs="Arial"/>
        </w:rPr>
        <w:t xml:space="preserve">require to </w:t>
      </w:r>
      <w:r w:rsidRPr="004A1042">
        <w:rPr>
          <w:rFonts w:ascii="Arial" w:hAnsi="Arial" w:cs="Arial"/>
        </w:rPr>
        <w:t>be advised of the receipt of all capital items by 2</w:t>
      </w:r>
      <w:r w:rsidR="0044116A">
        <w:rPr>
          <w:rFonts w:ascii="Arial" w:hAnsi="Arial" w:cs="Arial"/>
        </w:rPr>
        <w:t>6</w:t>
      </w:r>
      <w:r w:rsidRPr="004A1042">
        <w:rPr>
          <w:rFonts w:ascii="Arial" w:hAnsi="Arial" w:cs="Arial"/>
        </w:rPr>
        <w:t>March and invoices be received for payment by this date</w:t>
      </w:r>
      <w:r>
        <w:rPr>
          <w:rFonts w:ascii="Arial" w:hAnsi="Arial" w:cs="Arial"/>
        </w:rPr>
        <w:t>.</w:t>
      </w:r>
    </w:p>
    <w:p w:rsidR="00D05D56" w:rsidRDefault="00D05D56" w:rsidP="00D05D56">
      <w:pPr>
        <w:ind w:left="360"/>
        <w:rPr>
          <w:rFonts w:ascii="Arial" w:hAnsi="Arial" w:cs="Arial"/>
        </w:rPr>
      </w:pPr>
    </w:p>
    <w:p w:rsidR="00D05D56" w:rsidRDefault="00D05D56" w:rsidP="00D05D56">
      <w:pPr>
        <w:ind w:left="360"/>
        <w:rPr>
          <w:rFonts w:ascii="Arial" w:hAnsi="Arial" w:cs="Arial"/>
        </w:rPr>
      </w:pPr>
      <w:r>
        <w:rPr>
          <w:rFonts w:ascii="Arial" w:hAnsi="Arial" w:cs="Arial"/>
        </w:rPr>
        <w:t>In addition to the above deadlines any non- routine items that have not previously been discussed with finance require to be discussed with finance in order to be included in the year-end out-turn.</w:t>
      </w:r>
    </w:p>
    <w:p w:rsidR="002E2C72" w:rsidRPr="00DD7165" w:rsidRDefault="002E2C72" w:rsidP="009E7B27">
      <w:pPr>
        <w:pStyle w:val="BodyTextIndent2"/>
        <w:ind w:left="0"/>
        <w:jc w:val="left"/>
        <w:rPr>
          <w:rFonts w:ascii="Arial" w:hAnsi="Arial" w:cs="Arial"/>
          <w:highlight w:val="yellow"/>
        </w:rPr>
      </w:pPr>
    </w:p>
    <w:p w:rsidR="00354084" w:rsidRPr="00665E77" w:rsidRDefault="00354084" w:rsidP="00F643E0">
      <w:pPr>
        <w:pStyle w:val="Heading4"/>
        <w:numPr>
          <w:ilvl w:val="0"/>
          <w:numId w:val="3"/>
        </w:numPr>
        <w:rPr>
          <w:rFonts w:ascii="Arial" w:hAnsi="Arial" w:cs="Arial"/>
        </w:rPr>
      </w:pPr>
      <w:r w:rsidRPr="00665E77">
        <w:rPr>
          <w:rFonts w:ascii="Arial" w:hAnsi="Arial" w:cs="Arial"/>
        </w:rPr>
        <w:t>Capital Update</w:t>
      </w:r>
    </w:p>
    <w:p w:rsidR="00354084" w:rsidRPr="00665E77" w:rsidRDefault="00354084" w:rsidP="00A44BE0">
      <w:pPr>
        <w:pStyle w:val="BodyTextIndent2"/>
        <w:ind w:left="360"/>
        <w:jc w:val="left"/>
        <w:rPr>
          <w:rFonts w:ascii="Arial" w:hAnsi="Arial" w:cs="Arial"/>
        </w:rPr>
      </w:pPr>
    </w:p>
    <w:p w:rsidR="00354084" w:rsidRPr="00665E77" w:rsidRDefault="00354084" w:rsidP="00A44BE0">
      <w:pPr>
        <w:pStyle w:val="BodyTextIndent2"/>
        <w:ind w:left="360"/>
        <w:jc w:val="left"/>
        <w:rPr>
          <w:rFonts w:ascii="Arial" w:hAnsi="Arial" w:cs="Arial"/>
        </w:rPr>
      </w:pPr>
      <w:r w:rsidRPr="00665E77">
        <w:rPr>
          <w:rFonts w:ascii="Arial" w:hAnsi="Arial" w:cs="Arial"/>
        </w:rPr>
        <w:t>The capital group was provided with an update on the financial position in the three key areas which make up the financial plan with this noted below.</w:t>
      </w:r>
    </w:p>
    <w:p w:rsidR="00354084" w:rsidRPr="00665E77" w:rsidRDefault="00354084" w:rsidP="00A44BE0">
      <w:pPr>
        <w:pStyle w:val="BodyTextIndent2"/>
        <w:ind w:left="360"/>
        <w:jc w:val="left"/>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42"/>
        <w:gridCol w:w="2053"/>
        <w:gridCol w:w="2023"/>
      </w:tblGrid>
      <w:tr w:rsidR="00354084" w:rsidRPr="00665E77" w:rsidTr="00FB269C">
        <w:tc>
          <w:tcPr>
            <w:tcW w:w="2042" w:type="dxa"/>
          </w:tcPr>
          <w:p w:rsidR="00354084" w:rsidRPr="00665E77" w:rsidRDefault="00354084" w:rsidP="00FB269C">
            <w:pPr>
              <w:pStyle w:val="BodyTextIndent2"/>
              <w:ind w:left="0"/>
              <w:jc w:val="left"/>
              <w:rPr>
                <w:rFonts w:ascii="Arial" w:hAnsi="Arial" w:cs="Arial"/>
              </w:rPr>
            </w:pPr>
          </w:p>
        </w:tc>
        <w:tc>
          <w:tcPr>
            <w:tcW w:w="2053" w:type="dxa"/>
          </w:tcPr>
          <w:p w:rsidR="00354084" w:rsidRPr="00665E77" w:rsidRDefault="00354084" w:rsidP="00FB269C">
            <w:pPr>
              <w:pStyle w:val="BodyTextIndent2"/>
              <w:ind w:left="0"/>
              <w:jc w:val="left"/>
              <w:rPr>
                <w:rFonts w:ascii="Arial" w:hAnsi="Arial" w:cs="Arial"/>
              </w:rPr>
            </w:pPr>
            <w:r w:rsidRPr="00665E77">
              <w:rPr>
                <w:rFonts w:ascii="Arial" w:hAnsi="Arial" w:cs="Arial"/>
              </w:rPr>
              <w:t xml:space="preserve">Allocation </w:t>
            </w:r>
          </w:p>
          <w:p w:rsidR="00354084" w:rsidRPr="00665E77" w:rsidRDefault="00354084" w:rsidP="00FB269C">
            <w:pPr>
              <w:pStyle w:val="BodyTextIndent2"/>
              <w:ind w:left="0"/>
              <w:jc w:val="left"/>
              <w:rPr>
                <w:rFonts w:ascii="Arial" w:hAnsi="Arial" w:cs="Arial"/>
              </w:rPr>
            </w:pPr>
            <w:r w:rsidRPr="00665E77">
              <w:rPr>
                <w:rFonts w:ascii="Arial" w:hAnsi="Arial" w:cs="Arial"/>
              </w:rPr>
              <w:t>£’000</w:t>
            </w:r>
          </w:p>
        </w:tc>
        <w:tc>
          <w:tcPr>
            <w:tcW w:w="2023" w:type="dxa"/>
          </w:tcPr>
          <w:p w:rsidR="00354084" w:rsidRPr="00665E77" w:rsidRDefault="00354084" w:rsidP="00FB269C">
            <w:pPr>
              <w:pStyle w:val="BodyTextIndent2"/>
              <w:ind w:left="0"/>
              <w:jc w:val="left"/>
              <w:rPr>
                <w:rFonts w:ascii="Arial" w:hAnsi="Arial" w:cs="Arial"/>
              </w:rPr>
            </w:pPr>
            <w:r w:rsidRPr="00665E77">
              <w:rPr>
                <w:rFonts w:ascii="Arial" w:hAnsi="Arial" w:cs="Arial"/>
              </w:rPr>
              <w:t>Spend to date</w:t>
            </w:r>
          </w:p>
          <w:p w:rsidR="00354084" w:rsidRPr="00665E77" w:rsidRDefault="00354084" w:rsidP="00FB269C">
            <w:pPr>
              <w:pStyle w:val="BodyTextIndent2"/>
              <w:ind w:left="0"/>
              <w:jc w:val="left"/>
              <w:rPr>
                <w:rFonts w:ascii="Arial" w:hAnsi="Arial" w:cs="Arial"/>
              </w:rPr>
            </w:pPr>
            <w:r w:rsidRPr="00665E77">
              <w:rPr>
                <w:rFonts w:ascii="Arial" w:hAnsi="Arial" w:cs="Arial"/>
              </w:rPr>
              <w:t>£’000</w:t>
            </w:r>
          </w:p>
        </w:tc>
      </w:tr>
      <w:tr w:rsidR="00354084" w:rsidRPr="00665E77" w:rsidTr="00FB269C">
        <w:tc>
          <w:tcPr>
            <w:tcW w:w="2042" w:type="dxa"/>
          </w:tcPr>
          <w:p w:rsidR="00354084" w:rsidRPr="00665E77" w:rsidRDefault="00354084" w:rsidP="00FB269C">
            <w:pPr>
              <w:pStyle w:val="BodyTextIndent2"/>
              <w:ind w:left="0"/>
              <w:jc w:val="left"/>
              <w:rPr>
                <w:rFonts w:ascii="Arial" w:hAnsi="Arial" w:cs="Arial"/>
              </w:rPr>
            </w:pPr>
            <w:r w:rsidRPr="00665E77">
              <w:rPr>
                <w:rFonts w:ascii="Arial" w:hAnsi="Arial" w:cs="Arial"/>
              </w:rPr>
              <w:t>Formula capital</w:t>
            </w:r>
          </w:p>
        </w:tc>
        <w:tc>
          <w:tcPr>
            <w:tcW w:w="2053" w:type="dxa"/>
          </w:tcPr>
          <w:p w:rsidR="00354084" w:rsidRPr="00665E77" w:rsidRDefault="00A43E32" w:rsidP="00FB269C">
            <w:pPr>
              <w:pStyle w:val="BodyTextIndent2"/>
              <w:ind w:left="0"/>
              <w:jc w:val="left"/>
              <w:rPr>
                <w:rFonts w:ascii="Arial" w:hAnsi="Arial" w:cs="Arial"/>
              </w:rPr>
            </w:pPr>
            <w:r>
              <w:rPr>
                <w:rFonts w:ascii="Arial" w:hAnsi="Arial" w:cs="Arial"/>
              </w:rPr>
              <w:t>4,291</w:t>
            </w:r>
          </w:p>
        </w:tc>
        <w:tc>
          <w:tcPr>
            <w:tcW w:w="2023" w:type="dxa"/>
          </w:tcPr>
          <w:p w:rsidR="00354084" w:rsidRPr="00665E77" w:rsidRDefault="00FC4EAC" w:rsidP="00FB269C">
            <w:pPr>
              <w:pStyle w:val="BodyTextIndent2"/>
              <w:ind w:left="0"/>
              <w:jc w:val="left"/>
              <w:rPr>
                <w:rFonts w:ascii="Arial" w:hAnsi="Arial" w:cs="Arial"/>
              </w:rPr>
            </w:pPr>
            <w:r w:rsidRPr="00665E77">
              <w:rPr>
                <w:rFonts w:ascii="Arial" w:hAnsi="Arial" w:cs="Arial"/>
              </w:rPr>
              <w:t>1,915</w:t>
            </w:r>
          </w:p>
        </w:tc>
      </w:tr>
      <w:tr w:rsidR="00354084" w:rsidRPr="00665E77" w:rsidTr="00FB269C">
        <w:tc>
          <w:tcPr>
            <w:tcW w:w="2042" w:type="dxa"/>
          </w:tcPr>
          <w:p w:rsidR="00354084" w:rsidRPr="00665E77" w:rsidRDefault="00354084" w:rsidP="00FB269C">
            <w:pPr>
              <w:pStyle w:val="BodyTextIndent2"/>
              <w:ind w:left="0"/>
              <w:jc w:val="left"/>
              <w:rPr>
                <w:rFonts w:ascii="Arial" w:hAnsi="Arial" w:cs="Arial"/>
              </w:rPr>
            </w:pPr>
            <w:r w:rsidRPr="00665E77">
              <w:rPr>
                <w:rFonts w:ascii="Arial" w:hAnsi="Arial" w:cs="Arial"/>
              </w:rPr>
              <w:t>Capital Stimulus</w:t>
            </w:r>
          </w:p>
        </w:tc>
        <w:tc>
          <w:tcPr>
            <w:tcW w:w="2053" w:type="dxa"/>
          </w:tcPr>
          <w:p w:rsidR="00354084" w:rsidRPr="00665E77" w:rsidRDefault="00154C6E" w:rsidP="00FB269C">
            <w:pPr>
              <w:pStyle w:val="BodyTextIndent2"/>
              <w:ind w:left="0"/>
              <w:jc w:val="left"/>
              <w:rPr>
                <w:rFonts w:ascii="Arial" w:hAnsi="Arial" w:cs="Arial"/>
              </w:rPr>
            </w:pPr>
            <w:r w:rsidRPr="00665E77">
              <w:rPr>
                <w:rFonts w:ascii="Arial" w:hAnsi="Arial" w:cs="Arial"/>
              </w:rPr>
              <w:t>2,816</w:t>
            </w:r>
          </w:p>
        </w:tc>
        <w:tc>
          <w:tcPr>
            <w:tcW w:w="2023" w:type="dxa"/>
          </w:tcPr>
          <w:p w:rsidR="00354084" w:rsidRPr="00665E77" w:rsidRDefault="00FC4EAC" w:rsidP="00073359">
            <w:pPr>
              <w:pStyle w:val="BodyTextIndent2"/>
              <w:ind w:left="0"/>
              <w:jc w:val="left"/>
              <w:rPr>
                <w:rFonts w:ascii="Arial" w:hAnsi="Arial" w:cs="Arial"/>
              </w:rPr>
            </w:pPr>
            <w:r w:rsidRPr="00665E77">
              <w:rPr>
                <w:rFonts w:ascii="Arial" w:hAnsi="Arial" w:cs="Arial"/>
              </w:rPr>
              <w:t>2,427</w:t>
            </w:r>
          </w:p>
        </w:tc>
      </w:tr>
      <w:tr w:rsidR="00354084" w:rsidRPr="00665E77" w:rsidTr="00FB269C">
        <w:tc>
          <w:tcPr>
            <w:tcW w:w="2042" w:type="dxa"/>
          </w:tcPr>
          <w:p w:rsidR="00354084" w:rsidRPr="00665E77" w:rsidRDefault="00354084" w:rsidP="00FB269C">
            <w:pPr>
              <w:pStyle w:val="BodyTextIndent2"/>
              <w:ind w:left="0"/>
              <w:jc w:val="left"/>
              <w:rPr>
                <w:rFonts w:ascii="Arial" w:hAnsi="Arial" w:cs="Arial"/>
              </w:rPr>
            </w:pPr>
            <w:r w:rsidRPr="00665E77">
              <w:rPr>
                <w:rFonts w:ascii="Arial" w:hAnsi="Arial" w:cs="Arial"/>
              </w:rPr>
              <w:t>Elective Centre</w:t>
            </w:r>
          </w:p>
        </w:tc>
        <w:tc>
          <w:tcPr>
            <w:tcW w:w="2053" w:type="dxa"/>
          </w:tcPr>
          <w:p w:rsidR="00354084" w:rsidRPr="00665E77" w:rsidRDefault="00154C6E" w:rsidP="00154C6E">
            <w:pPr>
              <w:pStyle w:val="BodyTextIndent2"/>
              <w:ind w:left="0"/>
              <w:jc w:val="left"/>
              <w:rPr>
                <w:rFonts w:ascii="Arial" w:hAnsi="Arial" w:cs="Arial"/>
              </w:rPr>
            </w:pPr>
            <w:r w:rsidRPr="00665E77">
              <w:rPr>
                <w:rFonts w:ascii="Arial" w:hAnsi="Arial" w:cs="Arial"/>
              </w:rPr>
              <w:t>717</w:t>
            </w:r>
          </w:p>
        </w:tc>
        <w:tc>
          <w:tcPr>
            <w:tcW w:w="2023" w:type="dxa"/>
          </w:tcPr>
          <w:p w:rsidR="00354084" w:rsidRPr="00665E77" w:rsidRDefault="00154C6E" w:rsidP="00FB269C">
            <w:pPr>
              <w:pStyle w:val="BodyTextIndent2"/>
              <w:ind w:left="0"/>
              <w:jc w:val="left"/>
              <w:rPr>
                <w:rFonts w:ascii="Arial" w:hAnsi="Arial" w:cs="Arial"/>
              </w:rPr>
            </w:pPr>
            <w:r w:rsidRPr="00665E77">
              <w:rPr>
                <w:rFonts w:ascii="Arial" w:hAnsi="Arial" w:cs="Arial"/>
              </w:rPr>
              <w:t>341</w:t>
            </w:r>
          </w:p>
        </w:tc>
      </w:tr>
      <w:tr w:rsidR="00354084" w:rsidRPr="00DD7165" w:rsidTr="00FB269C">
        <w:tc>
          <w:tcPr>
            <w:tcW w:w="2042" w:type="dxa"/>
          </w:tcPr>
          <w:p w:rsidR="00354084" w:rsidRPr="00665E77" w:rsidRDefault="00354084" w:rsidP="00FB269C">
            <w:pPr>
              <w:pStyle w:val="BodyTextIndent2"/>
              <w:ind w:left="0"/>
              <w:jc w:val="left"/>
              <w:rPr>
                <w:rFonts w:ascii="Arial" w:hAnsi="Arial" w:cs="Arial"/>
                <w:b/>
              </w:rPr>
            </w:pPr>
            <w:r w:rsidRPr="00665E77">
              <w:rPr>
                <w:rFonts w:ascii="Arial" w:hAnsi="Arial" w:cs="Arial"/>
                <w:b/>
              </w:rPr>
              <w:t>Total</w:t>
            </w:r>
          </w:p>
        </w:tc>
        <w:tc>
          <w:tcPr>
            <w:tcW w:w="2053" w:type="dxa"/>
          </w:tcPr>
          <w:p w:rsidR="00354084" w:rsidRPr="00665E77" w:rsidRDefault="00A43E32" w:rsidP="00FB269C">
            <w:pPr>
              <w:pStyle w:val="BodyTextIndent2"/>
              <w:ind w:left="0"/>
              <w:jc w:val="left"/>
              <w:rPr>
                <w:rFonts w:ascii="Arial" w:hAnsi="Arial" w:cs="Arial"/>
                <w:b/>
              </w:rPr>
            </w:pPr>
            <w:r>
              <w:rPr>
                <w:rFonts w:ascii="Arial" w:hAnsi="Arial" w:cs="Arial"/>
                <w:b/>
              </w:rPr>
              <w:t>7,824</w:t>
            </w:r>
          </w:p>
        </w:tc>
        <w:tc>
          <w:tcPr>
            <w:tcW w:w="2023" w:type="dxa"/>
          </w:tcPr>
          <w:p w:rsidR="00354084" w:rsidRPr="00665E77" w:rsidRDefault="00665E77" w:rsidP="00073359">
            <w:pPr>
              <w:pStyle w:val="BodyTextIndent2"/>
              <w:ind w:left="0"/>
              <w:jc w:val="left"/>
              <w:rPr>
                <w:rFonts w:ascii="Arial" w:hAnsi="Arial" w:cs="Arial"/>
                <w:b/>
              </w:rPr>
            </w:pPr>
            <w:r w:rsidRPr="00665E77">
              <w:rPr>
                <w:rFonts w:ascii="Arial" w:hAnsi="Arial" w:cs="Arial"/>
                <w:b/>
              </w:rPr>
              <w:t>4,683</w:t>
            </w:r>
          </w:p>
        </w:tc>
      </w:tr>
    </w:tbl>
    <w:p w:rsidR="00354084" w:rsidRPr="00DD7165" w:rsidRDefault="00354084" w:rsidP="00A44BE0">
      <w:pPr>
        <w:pStyle w:val="BodyTextIndent2"/>
        <w:ind w:left="360"/>
        <w:jc w:val="left"/>
        <w:rPr>
          <w:rFonts w:ascii="Arial" w:hAnsi="Arial" w:cs="Arial"/>
          <w:highlight w:val="yellow"/>
        </w:rPr>
      </w:pPr>
    </w:p>
    <w:p w:rsidR="00354084" w:rsidRPr="00665E77" w:rsidRDefault="00354084" w:rsidP="00E21DC8">
      <w:pPr>
        <w:ind w:left="360"/>
        <w:rPr>
          <w:rFonts w:ascii="Arial" w:hAnsi="Arial" w:cs="Arial"/>
        </w:rPr>
      </w:pPr>
      <w:r w:rsidRPr="00665E77">
        <w:rPr>
          <w:rFonts w:ascii="Arial" w:hAnsi="Arial" w:cs="Arial"/>
        </w:rPr>
        <w:t xml:space="preserve">The </w:t>
      </w:r>
      <w:r w:rsidRPr="00665E77">
        <w:rPr>
          <w:rFonts w:ascii="Arial" w:hAnsi="Arial" w:cs="Arial"/>
          <w:b/>
        </w:rPr>
        <w:t>Formula Capital</w:t>
      </w:r>
      <w:r w:rsidRPr="00665E77">
        <w:rPr>
          <w:rFonts w:ascii="Arial" w:hAnsi="Arial" w:cs="Arial"/>
        </w:rPr>
        <w:t xml:space="preserve"> spend is in line with anticipated spend for month six, meetings have been held with all leads in the main spend areas and business cases will be presented for the majority of spend by mid-December.  All major items have been tendered for in advance of the business cases being submitted to ensure that the most accurate price is </w:t>
      </w:r>
      <w:r w:rsidRPr="00665E77">
        <w:rPr>
          <w:rFonts w:ascii="Arial" w:hAnsi="Arial" w:cs="Arial"/>
        </w:rPr>
        <w:lastRenderedPageBreak/>
        <w:t>included in the business case.</w:t>
      </w:r>
      <w:r w:rsidR="00A43E32">
        <w:rPr>
          <w:rFonts w:ascii="Arial" w:hAnsi="Arial" w:cs="Arial"/>
        </w:rPr>
        <w:t xml:space="preserve"> The formula capital takes account of the </w:t>
      </w:r>
      <w:r w:rsidR="00FF0F66">
        <w:rPr>
          <w:rFonts w:ascii="Arial" w:hAnsi="Arial" w:cs="Arial"/>
        </w:rPr>
        <w:t>of the £1.6m revenue to capital money.</w:t>
      </w:r>
    </w:p>
    <w:p w:rsidR="00354084" w:rsidRPr="00DD7165" w:rsidRDefault="00354084" w:rsidP="00E21DC8">
      <w:pPr>
        <w:ind w:left="360"/>
        <w:rPr>
          <w:rFonts w:ascii="Arial" w:hAnsi="Arial" w:cs="Arial"/>
          <w:highlight w:val="yellow"/>
        </w:rPr>
      </w:pPr>
    </w:p>
    <w:p w:rsidR="00354084" w:rsidRPr="00FF0F66" w:rsidRDefault="00354084" w:rsidP="00E21DC8">
      <w:pPr>
        <w:ind w:left="360"/>
        <w:rPr>
          <w:rFonts w:ascii="Arial" w:hAnsi="Arial" w:cs="Arial"/>
        </w:rPr>
      </w:pPr>
      <w:r w:rsidRPr="00FF0F66">
        <w:rPr>
          <w:rFonts w:ascii="Arial" w:hAnsi="Arial" w:cs="Arial"/>
        </w:rPr>
        <w:t xml:space="preserve">The </w:t>
      </w:r>
      <w:r w:rsidRPr="00FF0F66">
        <w:rPr>
          <w:rFonts w:ascii="Arial" w:hAnsi="Arial" w:cs="Arial"/>
          <w:b/>
        </w:rPr>
        <w:t>Capital Stimulus</w:t>
      </w:r>
      <w:r w:rsidRPr="00FF0F66">
        <w:rPr>
          <w:rFonts w:ascii="Arial" w:hAnsi="Arial" w:cs="Arial"/>
        </w:rPr>
        <w:t xml:space="preserve"> spend in year relates to the MRI suite, including the two new MRI scanners.  At this point it would appear that spend in year will be lower than budget, </w:t>
      </w:r>
      <w:r w:rsidR="002E6C31" w:rsidRPr="00FF0F66">
        <w:rPr>
          <w:rFonts w:ascii="Arial" w:hAnsi="Arial" w:cs="Arial"/>
        </w:rPr>
        <w:t xml:space="preserve">with </w:t>
      </w:r>
      <w:r w:rsidRPr="00FF0F66">
        <w:rPr>
          <w:rFonts w:ascii="Arial" w:hAnsi="Arial" w:cs="Arial"/>
        </w:rPr>
        <w:t xml:space="preserve">the final out-turn for the project </w:t>
      </w:r>
      <w:r w:rsidR="002E6C31" w:rsidRPr="00FF0F66">
        <w:rPr>
          <w:rFonts w:ascii="Arial" w:hAnsi="Arial" w:cs="Arial"/>
        </w:rPr>
        <w:t xml:space="preserve">to be confirmed in </w:t>
      </w:r>
      <w:r w:rsidRPr="00FF0F66">
        <w:rPr>
          <w:rFonts w:ascii="Arial" w:hAnsi="Arial" w:cs="Arial"/>
        </w:rPr>
        <w:t xml:space="preserve">early January.  </w:t>
      </w:r>
      <w:r w:rsidR="00665E77" w:rsidRPr="00FF0F66">
        <w:rPr>
          <w:rFonts w:ascii="Arial" w:hAnsi="Arial" w:cs="Arial"/>
        </w:rPr>
        <w:t xml:space="preserve">In year it has been agreed with SGHSCD to move £467k of funding from the capital stimulus funding against the elective centre programme, this funding will be </w:t>
      </w:r>
      <w:r w:rsidR="00FF0F66" w:rsidRPr="00FF0F66">
        <w:rPr>
          <w:rFonts w:ascii="Arial" w:hAnsi="Arial" w:cs="Arial"/>
        </w:rPr>
        <w:t xml:space="preserve">reinstated </w:t>
      </w:r>
      <w:r w:rsidR="00665E77" w:rsidRPr="00FF0F66">
        <w:rPr>
          <w:rFonts w:ascii="Arial" w:hAnsi="Arial" w:cs="Arial"/>
        </w:rPr>
        <w:t xml:space="preserve"> against the capital stimulus </w:t>
      </w:r>
      <w:r w:rsidR="00FF0F66" w:rsidRPr="00FF0F66">
        <w:rPr>
          <w:rFonts w:ascii="Arial" w:hAnsi="Arial" w:cs="Arial"/>
        </w:rPr>
        <w:t>money in 2018/19 to contribute to the funding of a second CT scanner.</w:t>
      </w:r>
    </w:p>
    <w:p w:rsidR="00354084" w:rsidRPr="00DD7165" w:rsidRDefault="00354084" w:rsidP="00E21DC8">
      <w:pPr>
        <w:ind w:left="360"/>
        <w:rPr>
          <w:rFonts w:ascii="Arial" w:hAnsi="Arial" w:cs="Arial"/>
          <w:highlight w:val="yellow"/>
        </w:rPr>
      </w:pPr>
    </w:p>
    <w:p w:rsidR="00C7637B" w:rsidRPr="00D05D56" w:rsidRDefault="00354084" w:rsidP="00C7637B">
      <w:pPr>
        <w:ind w:left="360"/>
        <w:rPr>
          <w:rFonts w:ascii="Arial" w:hAnsi="Arial" w:cs="Arial"/>
        </w:rPr>
      </w:pPr>
      <w:r w:rsidRPr="00D05D56">
        <w:rPr>
          <w:rFonts w:ascii="Arial" w:hAnsi="Arial" w:cs="Arial"/>
        </w:rPr>
        <w:t xml:space="preserve">The </w:t>
      </w:r>
      <w:r w:rsidRPr="00D05D56">
        <w:rPr>
          <w:rFonts w:ascii="Arial" w:hAnsi="Arial" w:cs="Arial"/>
          <w:b/>
        </w:rPr>
        <w:t xml:space="preserve">Elective Centre </w:t>
      </w:r>
      <w:r w:rsidRPr="00D05D56">
        <w:rPr>
          <w:rFonts w:ascii="Arial" w:hAnsi="Arial" w:cs="Arial"/>
        </w:rPr>
        <w:t xml:space="preserve">spend in year relates to </w:t>
      </w:r>
      <w:r w:rsidR="002E6C31" w:rsidRPr="00D05D56">
        <w:rPr>
          <w:rFonts w:ascii="Arial" w:hAnsi="Arial" w:cs="Arial"/>
        </w:rPr>
        <w:t xml:space="preserve">advisor </w:t>
      </w:r>
      <w:r w:rsidRPr="00D05D56">
        <w:rPr>
          <w:rFonts w:ascii="Arial" w:hAnsi="Arial" w:cs="Arial"/>
        </w:rPr>
        <w:t xml:space="preserve">fees which will be incurred in advance of building work being commenced.  These fees relate to Cost Advisor, Project Manager and design cost for the PSCP.  In order to monitor this spend there </w:t>
      </w:r>
      <w:r w:rsidR="002E2C72" w:rsidRPr="00D05D56">
        <w:rPr>
          <w:rFonts w:ascii="Arial" w:hAnsi="Arial" w:cs="Arial"/>
        </w:rPr>
        <w:t>are fortnightly</w:t>
      </w:r>
      <w:r w:rsidRPr="00D05D56">
        <w:rPr>
          <w:rFonts w:ascii="Arial" w:hAnsi="Arial" w:cs="Arial"/>
        </w:rPr>
        <w:t xml:space="preserve"> cost control </w:t>
      </w:r>
      <w:r w:rsidR="002E6C31" w:rsidRPr="00D05D56">
        <w:rPr>
          <w:rFonts w:ascii="Arial" w:hAnsi="Arial" w:cs="Arial"/>
        </w:rPr>
        <w:t xml:space="preserve">review </w:t>
      </w:r>
      <w:r w:rsidRPr="00D05D56">
        <w:rPr>
          <w:rFonts w:ascii="Arial" w:hAnsi="Arial" w:cs="Arial"/>
        </w:rPr>
        <w:t xml:space="preserve">meetings </w:t>
      </w:r>
      <w:r w:rsidR="002E6C31" w:rsidRPr="00D05D56">
        <w:rPr>
          <w:rFonts w:ascii="Arial" w:hAnsi="Arial" w:cs="Arial"/>
        </w:rPr>
        <w:t xml:space="preserve">established </w:t>
      </w:r>
      <w:r w:rsidRPr="00D05D56">
        <w:rPr>
          <w:rFonts w:ascii="Arial" w:hAnsi="Arial" w:cs="Arial"/>
        </w:rPr>
        <w:t xml:space="preserve">to ensure that costs are monitored closely.  </w:t>
      </w:r>
      <w:r w:rsidR="00D05D56" w:rsidRPr="00D05D56">
        <w:rPr>
          <w:rFonts w:ascii="Arial" w:hAnsi="Arial" w:cs="Arial"/>
        </w:rPr>
        <w:t>It was agreed by the cost control group that the budget in year would be increase by to £717k to allow for commencement of the stage three work programme.</w:t>
      </w:r>
      <w:r w:rsidR="00D05D56">
        <w:rPr>
          <w:rFonts w:ascii="Arial" w:hAnsi="Arial" w:cs="Arial"/>
        </w:rPr>
        <w:t xml:space="preserve">  Is noted above money from the capital stimulus funds have been utilised in year to enable this increase.</w:t>
      </w:r>
    </w:p>
    <w:p w:rsidR="00354084" w:rsidRDefault="00354084" w:rsidP="006D4EC5">
      <w:pPr>
        <w:rPr>
          <w:rFonts w:ascii="Arial" w:hAnsi="Arial" w:cs="Arial"/>
        </w:rPr>
      </w:pPr>
    </w:p>
    <w:p w:rsidR="00354084" w:rsidRDefault="00354084" w:rsidP="00E23B04">
      <w:pPr>
        <w:pStyle w:val="Heading4"/>
        <w:numPr>
          <w:ilvl w:val="0"/>
          <w:numId w:val="3"/>
        </w:numPr>
        <w:rPr>
          <w:rFonts w:ascii="Arial" w:hAnsi="Arial" w:cs="Arial"/>
        </w:rPr>
      </w:pPr>
      <w:r>
        <w:rPr>
          <w:rFonts w:ascii="Arial" w:hAnsi="Arial" w:cs="Arial"/>
        </w:rPr>
        <w:t>Efficiency Savings</w:t>
      </w:r>
    </w:p>
    <w:p w:rsidR="00354084" w:rsidRPr="007D6BFC" w:rsidRDefault="00354084" w:rsidP="00E23B04"/>
    <w:p w:rsidR="00354084" w:rsidRDefault="001B22F6" w:rsidP="00CB6C66">
      <w:pPr>
        <w:ind w:left="360"/>
        <w:rPr>
          <w:rFonts w:ascii="Arial" w:hAnsi="Arial" w:cs="Arial"/>
        </w:rPr>
      </w:pPr>
      <w:r>
        <w:rPr>
          <w:rFonts w:ascii="Arial" w:hAnsi="Arial" w:cs="Arial"/>
        </w:rPr>
        <w:t>At month eight</w:t>
      </w:r>
      <w:r w:rsidR="00E71E60">
        <w:rPr>
          <w:rFonts w:ascii="Arial" w:hAnsi="Arial" w:cs="Arial"/>
        </w:rPr>
        <w:t xml:space="preserve"> </w:t>
      </w:r>
      <w:r w:rsidR="00354084">
        <w:rPr>
          <w:rFonts w:ascii="Arial" w:hAnsi="Arial" w:cs="Arial"/>
        </w:rPr>
        <w:t xml:space="preserve">total </w:t>
      </w:r>
      <w:r w:rsidR="00354084" w:rsidRPr="00EF2EDC">
        <w:rPr>
          <w:rFonts w:ascii="Arial" w:hAnsi="Arial" w:cs="Arial"/>
        </w:rPr>
        <w:t xml:space="preserve">efficiency savings delivered were </w:t>
      </w:r>
      <w:r w:rsidR="00354084" w:rsidRPr="00AC3356">
        <w:rPr>
          <w:rFonts w:ascii="Arial" w:hAnsi="Arial" w:cs="Arial"/>
        </w:rPr>
        <w:t>£</w:t>
      </w:r>
      <w:r w:rsidRPr="00AC3356">
        <w:rPr>
          <w:rFonts w:ascii="Arial" w:hAnsi="Arial" w:cs="Arial"/>
        </w:rPr>
        <w:t>3</w:t>
      </w:r>
      <w:r w:rsidR="00354084" w:rsidRPr="00AC3356">
        <w:rPr>
          <w:rFonts w:ascii="Arial" w:hAnsi="Arial" w:cs="Arial"/>
        </w:rPr>
        <w:t>.</w:t>
      </w:r>
      <w:r w:rsidR="00706FFF" w:rsidRPr="00AC3356">
        <w:rPr>
          <w:rFonts w:ascii="Arial" w:hAnsi="Arial" w:cs="Arial"/>
        </w:rPr>
        <w:t>9</w:t>
      </w:r>
      <w:r w:rsidR="00AC3356" w:rsidRPr="00AC3356">
        <w:rPr>
          <w:rFonts w:ascii="Arial" w:hAnsi="Arial" w:cs="Arial"/>
        </w:rPr>
        <w:t>39</w:t>
      </w:r>
      <w:r w:rsidR="00706FFF" w:rsidRPr="00AC3356">
        <w:rPr>
          <w:rFonts w:ascii="Arial" w:hAnsi="Arial" w:cs="Arial"/>
        </w:rPr>
        <w:t>m</w:t>
      </w:r>
      <w:r w:rsidR="00706FFF">
        <w:rPr>
          <w:rFonts w:ascii="Arial" w:hAnsi="Arial" w:cs="Arial"/>
        </w:rPr>
        <w:t xml:space="preserve"> </w:t>
      </w:r>
      <w:r w:rsidR="00354084" w:rsidRPr="00EF2EDC">
        <w:rPr>
          <w:rFonts w:ascii="Arial" w:hAnsi="Arial" w:cs="Arial"/>
        </w:rPr>
        <w:t xml:space="preserve">against an LDP target of </w:t>
      </w:r>
      <w:r w:rsidR="00354084" w:rsidRPr="00AC3356">
        <w:rPr>
          <w:rFonts w:ascii="Arial" w:hAnsi="Arial" w:cs="Arial"/>
        </w:rPr>
        <w:t>£</w:t>
      </w:r>
      <w:r w:rsidR="00AC3356" w:rsidRPr="00AC3356">
        <w:rPr>
          <w:rFonts w:ascii="Arial" w:hAnsi="Arial" w:cs="Arial"/>
        </w:rPr>
        <w:t>3.6</w:t>
      </w:r>
      <w:r w:rsidR="00AC3356">
        <w:rPr>
          <w:rFonts w:ascii="Arial" w:hAnsi="Arial" w:cs="Arial"/>
        </w:rPr>
        <w:t>48</w:t>
      </w:r>
      <w:r w:rsidR="00354084" w:rsidRPr="00AC3356">
        <w:rPr>
          <w:rFonts w:ascii="Arial" w:hAnsi="Arial" w:cs="Arial"/>
        </w:rPr>
        <w:t>m,</w:t>
      </w:r>
      <w:r w:rsidR="0015424C">
        <w:rPr>
          <w:rFonts w:ascii="Arial" w:hAnsi="Arial" w:cs="Arial"/>
        </w:rPr>
        <w:t xml:space="preserve"> reporting </w:t>
      </w:r>
      <w:r w:rsidR="0015424C" w:rsidRPr="00AC3356">
        <w:rPr>
          <w:rFonts w:ascii="Arial" w:hAnsi="Arial" w:cs="Arial"/>
        </w:rPr>
        <w:t>£</w:t>
      </w:r>
      <w:r w:rsidR="00AC3356" w:rsidRPr="00AC3356">
        <w:rPr>
          <w:rFonts w:ascii="Arial" w:hAnsi="Arial" w:cs="Arial"/>
        </w:rPr>
        <w:t>291</w:t>
      </w:r>
      <w:r w:rsidR="00354084" w:rsidRPr="00AC3356">
        <w:rPr>
          <w:rFonts w:ascii="Arial" w:hAnsi="Arial" w:cs="Arial"/>
        </w:rPr>
        <w:t>k</w:t>
      </w:r>
      <w:r w:rsidR="00354084">
        <w:rPr>
          <w:rFonts w:ascii="Arial" w:hAnsi="Arial" w:cs="Arial"/>
        </w:rPr>
        <w:t xml:space="preserve"> favourable performance against plan at this stage</w:t>
      </w:r>
      <w:r w:rsidR="00354084" w:rsidRPr="00EF2EDC">
        <w:rPr>
          <w:rFonts w:ascii="Arial" w:hAnsi="Arial" w:cs="Arial"/>
        </w:rPr>
        <w:t xml:space="preserve">. </w:t>
      </w:r>
      <w:r w:rsidR="00354084">
        <w:rPr>
          <w:rFonts w:ascii="Arial" w:hAnsi="Arial" w:cs="Arial"/>
        </w:rPr>
        <w:t>This is ahead of the planned trajectory and we expect to meet our Board efficiency savings annual target at this stage.</w:t>
      </w:r>
    </w:p>
    <w:p w:rsidR="00354084" w:rsidRDefault="00354084" w:rsidP="00486236">
      <w:pPr>
        <w:rPr>
          <w:rFonts w:ascii="Arial" w:hAnsi="Arial" w:cs="Arial"/>
        </w:rPr>
      </w:pPr>
    </w:p>
    <w:p w:rsidR="00354084" w:rsidRDefault="0015424C" w:rsidP="00E23B04">
      <w:pPr>
        <w:ind w:left="360"/>
        <w:rPr>
          <w:rFonts w:ascii="Arial" w:hAnsi="Arial" w:cs="Arial"/>
        </w:rPr>
      </w:pPr>
      <w:r>
        <w:rPr>
          <w:rFonts w:ascii="Arial" w:hAnsi="Arial" w:cs="Arial"/>
        </w:rPr>
        <w:t>The</w:t>
      </w:r>
      <w:r w:rsidR="00354084" w:rsidRPr="00EF2EDC">
        <w:rPr>
          <w:rFonts w:ascii="Arial" w:hAnsi="Arial" w:cs="Arial"/>
        </w:rPr>
        <w:t xml:space="preserve"> </w:t>
      </w:r>
      <w:r w:rsidR="00354084">
        <w:rPr>
          <w:rFonts w:ascii="Arial" w:hAnsi="Arial" w:cs="Arial"/>
        </w:rPr>
        <w:t xml:space="preserve">savings achieved to date are </w:t>
      </w:r>
      <w:r w:rsidR="00354084" w:rsidRPr="00EF2EDC">
        <w:rPr>
          <w:rFonts w:ascii="Arial" w:hAnsi="Arial" w:cs="Arial"/>
        </w:rPr>
        <w:t>split with recurring efficiency</w:t>
      </w:r>
      <w:r w:rsidRPr="00EF2EDC">
        <w:rPr>
          <w:rFonts w:ascii="Arial" w:hAnsi="Arial" w:cs="Arial"/>
        </w:rPr>
        <w:t xml:space="preserve"> </w:t>
      </w:r>
      <w:r w:rsidR="00354084" w:rsidRPr="00EF2EDC">
        <w:rPr>
          <w:rFonts w:ascii="Arial" w:hAnsi="Arial" w:cs="Arial"/>
        </w:rPr>
        <w:t xml:space="preserve">savings achieved </w:t>
      </w:r>
      <w:r>
        <w:rPr>
          <w:rFonts w:ascii="Arial" w:hAnsi="Arial" w:cs="Arial"/>
        </w:rPr>
        <w:t xml:space="preserve">of </w:t>
      </w:r>
      <w:r w:rsidR="00354084" w:rsidRPr="00AD7E55">
        <w:rPr>
          <w:rFonts w:ascii="Arial" w:hAnsi="Arial" w:cs="Arial"/>
        </w:rPr>
        <w:t>£</w:t>
      </w:r>
      <w:r w:rsidR="007362F0" w:rsidRPr="00AD7E55">
        <w:rPr>
          <w:rFonts w:ascii="Arial" w:hAnsi="Arial" w:cs="Arial"/>
        </w:rPr>
        <w:t>3</w:t>
      </w:r>
      <w:r w:rsidR="001B22F6" w:rsidRPr="00AD7E55">
        <w:rPr>
          <w:rFonts w:ascii="Arial" w:hAnsi="Arial" w:cs="Arial"/>
        </w:rPr>
        <w:t>.</w:t>
      </w:r>
      <w:r w:rsidR="007362F0" w:rsidRPr="00AD7E55">
        <w:rPr>
          <w:rFonts w:ascii="Arial" w:hAnsi="Arial" w:cs="Arial"/>
        </w:rPr>
        <w:t>0</w:t>
      </w:r>
      <w:r w:rsidR="00AD7E55" w:rsidRPr="00AD7E55">
        <w:rPr>
          <w:rFonts w:ascii="Arial" w:hAnsi="Arial" w:cs="Arial"/>
        </w:rPr>
        <w:t>4</w:t>
      </w:r>
      <w:r w:rsidRPr="00AD7E55">
        <w:rPr>
          <w:rFonts w:ascii="Arial" w:hAnsi="Arial" w:cs="Arial"/>
        </w:rPr>
        <w:t>4</w:t>
      </w:r>
      <w:r w:rsidR="00354084" w:rsidRPr="00AD7E55">
        <w:rPr>
          <w:rFonts w:ascii="Arial" w:hAnsi="Arial" w:cs="Arial"/>
        </w:rPr>
        <w:t>m</w:t>
      </w:r>
      <w:r w:rsidR="00354084" w:rsidRPr="00EF2EDC">
        <w:rPr>
          <w:rFonts w:ascii="Arial" w:hAnsi="Arial" w:cs="Arial"/>
        </w:rPr>
        <w:t xml:space="preserve"> and non recurring savings of </w:t>
      </w:r>
      <w:r w:rsidR="00354084" w:rsidRPr="00AC3356">
        <w:rPr>
          <w:rFonts w:ascii="Arial" w:hAnsi="Arial" w:cs="Arial"/>
        </w:rPr>
        <w:t>£</w:t>
      </w:r>
      <w:r w:rsidR="00AC3356" w:rsidRPr="00AC3356">
        <w:rPr>
          <w:rFonts w:ascii="Arial" w:hAnsi="Arial" w:cs="Arial"/>
        </w:rPr>
        <w:t>0.89</w:t>
      </w:r>
      <w:r w:rsidR="00706FFF" w:rsidRPr="00AC3356">
        <w:rPr>
          <w:rFonts w:ascii="Arial" w:hAnsi="Arial" w:cs="Arial"/>
        </w:rPr>
        <w:t>5</w:t>
      </w:r>
      <w:r w:rsidR="00354084" w:rsidRPr="00AC3356">
        <w:rPr>
          <w:rFonts w:ascii="Arial" w:hAnsi="Arial" w:cs="Arial"/>
        </w:rPr>
        <w:t>m</w:t>
      </w:r>
      <w:r>
        <w:rPr>
          <w:rFonts w:ascii="Arial" w:hAnsi="Arial" w:cs="Arial"/>
        </w:rPr>
        <w:t xml:space="preserve">. </w:t>
      </w:r>
      <w:r w:rsidR="00354084" w:rsidRPr="00EF2EDC">
        <w:rPr>
          <w:rFonts w:ascii="Arial" w:hAnsi="Arial" w:cs="Arial"/>
        </w:rPr>
        <w:t>Details of this are included in Appendix 1, page 5.</w:t>
      </w:r>
      <w:r w:rsidR="00354084" w:rsidRPr="0005218C">
        <w:rPr>
          <w:rFonts w:ascii="Arial" w:hAnsi="Arial" w:cs="Arial"/>
        </w:rPr>
        <w:t xml:space="preserve">  </w:t>
      </w:r>
    </w:p>
    <w:p w:rsidR="00354084" w:rsidRDefault="00354084" w:rsidP="00E23B04">
      <w:pPr>
        <w:ind w:left="360"/>
        <w:rPr>
          <w:rFonts w:ascii="Arial" w:hAnsi="Arial" w:cs="Arial"/>
        </w:rPr>
      </w:pPr>
    </w:p>
    <w:p w:rsidR="00354084" w:rsidRDefault="00354084" w:rsidP="00E23B04">
      <w:pPr>
        <w:ind w:left="360"/>
        <w:rPr>
          <w:rFonts w:ascii="Arial" w:hAnsi="Arial" w:cs="Arial"/>
        </w:rPr>
      </w:pPr>
      <w:r>
        <w:rPr>
          <w:rFonts w:ascii="Arial" w:hAnsi="Arial" w:cs="Arial"/>
        </w:rPr>
        <w:t>The</w:t>
      </w:r>
      <w:r w:rsidR="001B22F6">
        <w:rPr>
          <w:rFonts w:ascii="Arial" w:hAnsi="Arial" w:cs="Arial"/>
        </w:rPr>
        <w:t>re are no</w:t>
      </w:r>
      <w:r>
        <w:rPr>
          <w:rFonts w:ascii="Arial" w:hAnsi="Arial" w:cs="Arial"/>
        </w:rPr>
        <w:t xml:space="preserve"> key movements in this </w:t>
      </w:r>
      <w:r w:rsidR="001B22F6">
        <w:rPr>
          <w:rFonts w:ascii="Arial" w:hAnsi="Arial" w:cs="Arial"/>
        </w:rPr>
        <w:t xml:space="preserve">month’s reported </w:t>
      </w:r>
      <w:r w:rsidR="00AD7E55">
        <w:rPr>
          <w:rFonts w:ascii="Arial" w:hAnsi="Arial" w:cs="Arial"/>
        </w:rPr>
        <w:t>position;</w:t>
      </w:r>
      <w:r w:rsidR="001B22F6">
        <w:rPr>
          <w:rFonts w:ascii="Arial" w:hAnsi="Arial" w:cs="Arial"/>
        </w:rPr>
        <w:t xml:space="preserve"> the achievement is in line with prior performance</w:t>
      </w:r>
    </w:p>
    <w:p w:rsidR="0015424C" w:rsidRDefault="0015424C" w:rsidP="00E23B04">
      <w:pPr>
        <w:ind w:left="360"/>
        <w:rPr>
          <w:rFonts w:ascii="Arial" w:hAnsi="Arial" w:cs="Arial"/>
        </w:rPr>
      </w:pPr>
    </w:p>
    <w:p w:rsidR="00354084" w:rsidRDefault="00354084" w:rsidP="000902EB">
      <w:pPr>
        <w:rPr>
          <w:rFonts w:ascii="Arial" w:hAnsi="Arial" w:cs="Arial"/>
        </w:rPr>
      </w:pPr>
    </w:p>
    <w:p w:rsidR="00354084" w:rsidRDefault="00354084" w:rsidP="00E23B04">
      <w:pPr>
        <w:pStyle w:val="Heading4"/>
        <w:numPr>
          <w:ilvl w:val="0"/>
          <w:numId w:val="3"/>
        </w:numPr>
        <w:rPr>
          <w:rFonts w:ascii="Arial" w:hAnsi="Arial" w:cs="Arial"/>
        </w:rPr>
      </w:pPr>
      <w:r w:rsidRPr="00FB7212">
        <w:rPr>
          <w:rFonts w:ascii="Arial" w:hAnsi="Arial" w:cs="Arial"/>
        </w:rPr>
        <w:t>Conclusion</w:t>
      </w:r>
    </w:p>
    <w:p w:rsidR="00354084" w:rsidRPr="00FB7212" w:rsidRDefault="00354084">
      <w:pPr>
        <w:rPr>
          <w:rFonts w:ascii="Arial" w:hAnsi="Arial" w:cs="Arial"/>
          <w:b/>
          <w:bCs/>
          <w:sz w:val="16"/>
          <w:szCs w:val="20"/>
        </w:rPr>
      </w:pPr>
    </w:p>
    <w:p w:rsidR="00354084" w:rsidRPr="00700075" w:rsidRDefault="00354084" w:rsidP="00700075">
      <w:pPr>
        <w:pStyle w:val="BodyTextIndent2"/>
        <w:ind w:left="360"/>
        <w:jc w:val="left"/>
        <w:rPr>
          <w:rFonts w:ascii="Arial" w:hAnsi="Arial" w:cs="Arial"/>
          <w:bCs w:val="0"/>
          <w:iCs w:val="0"/>
        </w:rPr>
      </w:pPr>
      <w:r w:rsidRPr="00FB7212">
        <w:rPr>
          <w:rFonts w:ascii="Arial" w:hAnsi="Arial" w:cs="Arial"/>
          <w:bCs w:val="0"/>
          <w:iCs w:val="0"/>
        </w:rPr>
        <w:t xml:space="preserve">Members are asked to note this finance report for the period ended </w:t>
      </w:r>
      <w:r w:rsidR="006F410E">
        <w:rPr>
          <w:rFonts w:ascii="Arial" w:hAnsi="Arial" w:cs="Arial"/>
          <w:bCs w:val="0"/>
          <w:iCs w:val="0"/>
        </w:rPr>
        <w:t>31 January 2018</w:t>
      </w:r>
      <w:r w:rsidRPr="00FB7212">
        <w:rPr>
          <w:rFonts w:ascii="Arial" w:hAnsi="Arial" w:cs="Arial"/>
          <w:bCs w:val="0"/>
          <w:iCs w:val="0"/>
        </w:rPr>
        <w:t>.</w:t>
      </w:r>
    </w:p>
    <w:p w:rsidR="00354084" w:rsidRDefault="00354084">
      <w:pPr>
        <w:pStyle w:val="Heading2"/>
        <w:rPr>
          <w:rFonts w:ascii="Arial" w:hAnsi="Arial" w:cs="Arial"/>
          <w:bCs w:val="0"/>
        </w:rPr>
      </w:pPr>
    </w:p>
    <w:p w:rsidR="00354084" w:rsidRPr="00FB7212" w:rsidRDefault="00354084">
      <w:pPr>
        <w:pStyle w:val="Heading2"/>
        <w:rPr>
          <w:rFonts w:ascii="Arial" w:hAnsi="Arial" w:cs="Arial"/>
          <w:bCs w:val="0"/>
        </w:rPr>
      </w:pPr>
      <w:r w:rsidRPr="00FB7212">
        <w:rPr>
          <w:rFonts w:ascii="Arial" w:hAnsi="Arial" w:cs="Arial"/>
          <w:bCs w:val="0"/>
        </w:rPr>
        <w:t>Julie Carter</w:t>
      </w:r>
    </w:p>
    <w:p w:rsidR="00354084" w:rsidRPr="00FB7212" w:rsidRDefault="00354084">
      <w:pPr>
        <w:rPr>
          <w:rFonts w:ascii="Arial" w:hAnsi="Arial" w:cs="Arial"/>
          <w:b/>
        </w:rPr>
      </w:pPr>
      <w:r w:rsidRPr="00FB7212">
        <w:rPr>
          <w:rFonts w:ascii="Arial" w:hAnsi="Arial" w:cs="Arial"/>
          <w:b/>
        </w:rPr>
        <w:t>Director of Finance</w:t>
      </w:r>
    </w:p>
    <w:p w:rsidR="00354084" w:rsidRDefault="006F410E" w:rsidP="00700075">
      <w:pPr>
        <w:rPr>
          <w:rFonts w:ascii="Arial" w:hAnsi="Arial" w:cs="Arial"/>
          <w:b/>
        </w:rPr>
      </w:pPr>
      <w:r>
        <w:rPr>
          <w:rFonts w:ascii="Arial" w:hAnsi="Arial" w:cs="Arial"/>
          <w:b/>
        </w:rPr>
        <w:t>01 March 2018</w:t>
      </w:r>
    </w:p>
    <w:p w:rsidR="00354084" w:rsidRDefault="00354084" w:rsidP="00700075">
      <w:pPr>
        <w:rPr>
          <w:rFonts w:ascii="Arial" w:hAnsi="Arial" w:cs="Arial"/>
          <w:b/>
        </w:rPr>
      </w:pPr>
    </w:p>
    <w:p w:rsidR="00354084" w:rsidRPr="000902EB" w:rsidRDefault="00354084" w:rsidP="000902EB">
      <w:pPr>
        <w:rPr>
          <w:rFonts w:ascii="Arial" w:hAnsi="Arial" w:cs="Arial"/>
          <w:i/>
          <w:iCs/>
        </w:rPr>
      </w:pPr>
      <w:r w:rsidRPr="00FB7212">
        <w:rPr>
          <w:rFonts w:ascii="Arial" w:hAnsi="Arial" w:cs="Arial"/>
          <w:i/>
          <w:iCs/>
        </w:rPr>
        <w:t>(Lily Bryson</w:t>
      </w:r>
      <w:r>
        <w:rPr>
          <w:rFonts w:ascii="Arial" w:hAnsi="Arial" w:cs="Arial"/>
          <w:i/>
          <w:iCs/>
        </w:rPr>
        <w:t>,</w:t>
      </w:r>
      <w:r w:rsidRPr="00FB7212">
        <w:rPr>
          <w:rFonts w:ascii="Arial" w:hAnsi="Arial" w:cs="Arial"/>
          <w:i/>
          <w:iCs/>
        </w:rPr>
        <w:t xml:space="preserve"> Assistant Director of Finance</w:t>
      </w:r>
      <w:r>
        <w:rPr>
          <w:rFonts w:ascii="Arial" w:hAnsi="Arial" w:cs="Arial"/>
          <w:i/>
          <w:iCs/>
        </w:rPr>
        <w:t xml:space="preserve"> – Governance and Financial Accounting)</w:t>
      </w:r>
    </w:p>
    <w:p w:rsidR="00354084" w:rsidRDefault="00354084">
      <w:pPr>
        <w:rPr>
          <w:rFonts w:ascii="Arial" w:hAnsi="Arial" w:cs="Arial"/>
          <w:b/>
          <w:bCs/>
          <w:iCs/>
          <w:szCs w:val="28"/>
        </w:rPr>
      </w:pPr>
    </w:p>
    <w:sectPr w:rsidR="00354084" w:rsidSect="003412B0">
      <w:footerReference w:type="even"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6BD5" w:rsidRDefault="00E16BD5">
      <w:r>
        <w:separator/>
      </w:r>
    </w:p>
  </w:endnote>
  <w:endnote w:type="continuationSeparator" w:id="0">
    <w:p w:rsidR="00E16BD5" w:rsidRDefault="00E16B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BF2" w:rsidRDefault="0077472C">
    <w:pPr>
      <w:pStyle w:val="Footer"/>
      <w:framePr w:wrap="around" w:vAnchor="text" w:hAnchor="margin" w:xAlign="center" w:y="1"/>
      <w:rPr>
        <w:rStyle w:val="PageNumber"/>
      </w:rPr>
    </w:pPr>
    <w:r>
      <w:rPr>
        <w:rStyle w:val="PageNumber"/>
      </w:rPr>
      <w:fldChar w:fldCharType="begin"/>
    </w:r>
    <w:r w:rsidR="00A41BF2">
      <w:rPr>
        <w:rStyle w:val="PageNumber"/>
      </w:rPr>
      <w:instrText xml:space="preserve">PAGE  </w:instrText>
    </w:r>
    <w:r>
      <w:rPr>
        <w:rStyle w:val="PageNumber"/>
      </w:rPr>
      <w:fldChar w:fldCharType="end"/>
    </w:r>
  </w:p>
  <w:p w:rsidR="00A41BF2" w:rsidRDefault="00A41BF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BF2" w:rsidRDefault="0077472C">
    <w:pPr>
      <w:pStyle w:val="Footer"/>
      <w:framePr w:wrap="around" w:vAnchor="text" w:hAnchor="margin" w:xAlign="center" w:y="1"/>
      <w:rPr>
        <w:rStyle w:val="PageNumber"/>
      </w:rPr>
    </w:pPr>
    <w:r>
      <w:rPr>
        <w:rStyle w:val="PageNumber"/>
      </w:rPr>
      <w:fldChar w:fldCharType="begin"/>
    </w:r>
    <w:r w:rsidR="00A41BF2">
      <w:rPr>
        <w:rStyle w:val="PageNumber"/>
      </w:rPr>
      <w:instrText xml:space="preserve">PAGE  </w:instrText>
    </w:r>
    <w:r>
      <w:rPr>
        <w:rStyle w:val="PageNumber"/>
      </w:rPr>
      <w:fldChar w:fldCharType="separate"/>
    </w:r>
    <w:r w:rsidR="00A027D5">
      <w:rPr>
        <w:rStyle w:val="PageNumber"/>
        <w:noProof/>
      </w:rPr>
      <w:t>4</w:t>
    </w:r>
    <w:r>
      <w:rPr>
        <w:rStyle w:val="PageNumber"/>
      </w:rPr>
      <w:fldChar w:fldCharType="end"/>
    </w:r>
  </w:p>
  <w:p w:rsidR="00A41BF2" w:rsidRDefault="00A41BF2">
    <w:pPr>
      <w:pStyle w:val="Footer"/>
    </w:pPr>
  </w:p>
  <w:p w:rsidR="00A41BF2" w:rsidRDefault="00A41BF2" w:rsidP="00987192">
    <w:pPr>
      <w:ind w:left="-540" w:right="184"/>
      <w:jc w:val="center"/>
      <w:rPr>
        <w:rFonts w:ascii="Arial" w:hAnsi="Arial" w:cs="Arial"/>
        <w:sz w:val="20"/>
        <w:szCs w:val="20"/>
      </w:rPr>
    </w:pPr>
    <w:r>
      <w:rPr>
        <w:noProof/>
        <w:lang w:eastAsia="en-GB"/>
      </w:rPr>
      <w:drawing>
        <wp:anchor distT="0" distB="0" distL="114300" distR="114300" simplePos="0" relativeHeight="251660288"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1"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pic:spPr>
              </pic:pic>
            </a:graphicData>
          </a:graphic>
        </wp:anchor>
      </w:drawing>
    </w:r>
  </w:p>
  <w:p w:rsidR="00A41BF2" w:rsidRPr="008F5DB5" w:rsidRDefault="00A41BF2" w:rsidP="000C43D7">
    <w:pPr>
      <w:pStyle w:val="Title"/>
      <w:ind w:left="-540" w:right="184" w:hanging="27"/>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A41BF2" w:rsidRPr="001A624A" w:rsidRDefault="00A41BF2" w:rsidP="000C43D7">
    <w:pPr>
      <w:pStyle w:val="Title"/>
      <w:ind w:left="-540" w:right="184" w:hanging="27"/>
      <w:jc w:val="left"/>
      <w:outlineLvl w:val="0"/>
      <w:rPr>
        <w:rFonts w:ascii="Arial" w:hAnsi="Arial" w:cs="Arial"/>
        <w:sz w:val="18"/>
        <w:szCs w:val="18"/>
      </w:rPr>
    </w:pPr>
    <w:r>
      <w:rPr>
        <w:rFonts w:ascii="Arial" w:hAnsi="Arial" w:cs="Arial"/>
        <w:sz w:val="18"/>
        <w:szCs w:val="18"/>
      </w:rPr>
      <w:t>Golden Jubilee National Hospital Charity Number: SC</w:t>
    </w:r>
    <w:r w:rsidR="004750C7">
      <w:rPr>
        <w:rFonts w:ascii="Arial" w:hAnsi="Arial" w:cs="Arial"/>
        <w:sz w:val="18"/>
        <w:szCs w:val="18"/>
      </w:rPr>
      <w:t>0</w:t>
    </w:r>
    <w:r>
      <w:rPr>
        <w:rFonts w:ascii="Arial" w:hAnsi="Arial" w:cs="Arial"/>
        <w:sz w:val="18"/>
        <w:szCs w:val="18"/>
      </w:rPr>
      <w:t>45146</w:t>
    </w:r>
  </w:p>
  <w:p w:rsidR="00A41BF2" w:rsidRDefault="00A41B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6BD5" w:rsidRDefault="00E16BD5">
      <w:r>
        <w:separator/>
      </w:r>
    </w:p>
  </w:footnote>
  <w:footnote w:type="continuationSeparator" w:id="0">
    <w:p w:rsidR="00E16BD5" w:rsidRDefault="00E16B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85C29"/>
    <w:multiLevelType w:val="hybridMultilevel"/>
    <w:tmpl w:val="BBB45C72"/>
    <w:lvl w:ilvl="0" w:tplc="0809000F">
      <w:start w:val="1"/>
      <w:numFmt w:val="decimal"/>
      <w:lvlText w:val="%1."/>
      <w:lvlJc w:val="left"/>
      <w:pPr>
        <w:tabs>
          <w:tab w:val="num" w:pos="720"/>
        </w:tabs>
        <w:ind w:left="720" w:hanging="360"/>
      </w:pPr>
      <w:rPr>
        <w:rFonts w:cs="Times New Roman"/>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
    <w:nsid w:val="06DA08B4"/>
    <w:multiLevelType w:val="hybridMultilevel"/>
    <w:tmpl w:val="9FC250F0"/>
    <w:lvl w:ilvl="0" w:tplc="08090005">
      <w:start w:val="1"/>
      <w:numFmt w:val="bullet"/>
      <w:lvlText w:val=""/>
      <w:lvlJc w:val="left"/>
      <w:pPr>
        <w:ind w:left="1353" w:hanging="360"/>
      </w:pPr>
      <w:rPr>
        <w:rFonts w:ascii="Wingdings" w:hAnsi="Wingdings" w:hint="default"/>
      </w:rPr>
    </w:lvl>
    <w:lvl w:ilvl="1" w:tplc="08090003" w:tentative="1">
      <w:start w:val="1"/>
      <w:numFmt w:val="bullet"/>
      <w:lvlText w:val="o"/>
      <w:lvlJc w:val="left"/>
      <w:pPr>
        <w:ind w:left="2073" w:hanging="360"/>
      </w:pPr>
      <w:rPr>
        <w:rFonts w:ascii="Courier New" w:hAnsi="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2">
    <w:nsid w:val="0C70680D"/>
    <w:multiLevelType w:val="hybridMultilevel"/>
    <w:tmpl w:val="F320D11E"/>
    <w:lvl w:ilvl="0" w:tplc="08090005">
      <w:start w:val="1"/>
      <w:numFmt w:val="bullet"/>
      <w:lvlText w:val=""/>
      <w:lvlJc w:val="left"/>
      <w:pPr>
        <w:ind w:left="1080" w:hanging="360"/>
      </w:pPr>
      <w:rPr>
        <w:rFonts w:ascii="Wingdings" w:hAnsi="Wingdings" w:hint="default"/>
      </w:rPr>
    </w:lvl>
    <w:lvl w:ilvl="1" w:tplc="08090005">
      <w:start w:val="1"/>
      <w:numFmt w:val="bullet"/>
      <w:lvlText w:val=""/>
      <w:lvlJc w:val="left"/>
      <w:pPr>
        <w:ind w:left="1800" w:hanging="360"/>
      </w:pPr>
      <w:rPr>
        <w:rFonts w:ascii="Wingdings" w:hAnsi="Wingdings"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0C95545C"/>
    <w:multiLevelType w:val="hybridMultilevel"/>
    <w:tmpl w:val="0DC0E72C"/>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
    <w:nsid w:val="0EA33E99"/>
    <w:multiLevelType w:val="hybridMultilevel"/>
    <w:tmpl w:val="45AC51E8"/>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5">
    <w:nsid w:val="13695B77"/>
    <w:multiLevelType w:val="hybridMultilevel"/>
    <w:tmpl w:val="50D8E7FE"/>
    <w:lvl w:ilvl="0" w:tplc="08090005">
      <w:start w:val="1"/>
      <w:numFmt w:val="bullet"/>
      <w:lvlText w:val=""/>
      <w:lvlJc w:val="left"/>
      <w:pPr>
        <w:tabs>
          <w:tab w:val="num" w:pos="1209"/>
        </w:tabs>
        <w:ind w:left="1209" w:hanging="360"/>
      </w:pPr>
      <w:rPr>
        <w:rFonts w:ascii="Wingdings" w:hAnsi="Wingdings" w:hint="default"/>
      </w:rPr>
    </w:lvl>
    <w:lvl w:ilvl="1" w:tplc="08090003">
      <w:start w:val="1"/>
      <w:numFmt w:val="bullet"/>
      <w:lvlText w:val="o"/>
      <w:lvlJc w:val="left"/>
      <w:pPr>
        <w:tabs>
          <w:tab w:val="num" w:pos="1929"/>
        </w:tabs>
        <w:ind w:left="1929" w:hanging="360"/>
      </w:pPr>
      <w:rPr>
        <w:rFonts w:ascii="Courier New" w:hAnsi="Courier New" w:hint="default"/>
      </w:rPr>
    </w:lvl>
    <w:lvl w:ilvl="2" w:tplc="08090005">
      <w:start w:val="1"/>
      <w:numFmt w:val="bullet"/>
      <w:lvlText w:val=""/>
      <w:lvlJc w:val="left"/>
      <w:pPr>
        <w:tabs>
          <w:tab w:val="num" w:pos="2649"/>
        </w:tabs>
        <w:ind w:left="2649" w:hanging="360"/>
      </w:pPr>
      <w:rPr>
        <w:rFonts w:ascii="Wingdings" w:hAnsi="Wingdings" w:hint="default"/>
      </w:rPr>
    </w:lvl>
    <w:lvl w:ilvl="3" w:tplc="08090001" w:tentative="1">
      <w:start w:val="1"/>
      <w:numFmt w:val="bullet"/>
      <w:lvlText w:val=""/>
      <w:lvlJc w:val="left"/>
      <w:pPr>
        <w:tabs>
          <w:tab w:val="num" w:pos="3369"/>
        </w:tabs>
        <w:ind w:left="3369" w:hanging="360"/>
      </w:pPr>
      <w:rPr>
        <w:rFonts w:ascii="Symbol" w:hAnsi="Symbol" w:hint="default"/>
      </w:rPr>
    </w:lvl>
    <w:lvl w:ilvl="4" w:tplc="08090003" w:tentative="1">
      <w:start w:val="1"/>
      <w:numFmt w:val="bullet"/>
      <w:lvlText w:val="o"/>
      <w:lvlJc w:val="left"/>
      <w:pPr>
        <w:tabs>
          <w:tab w:val="num" w:pos="4089"/>
        </w:tabs>
        <w:ind w:left="4089" w:hanging="360"/>
      </w:pPr>
      <w:rPr>
        <w:rFonts w:ascii="Courier New" w:hAnsi="Courier New" w:hint="default"/>
      </w:rPr>
    </w:lvl>
    <w:lvl w:ilvl="5" w:tplc="08090005" w:tentative="1">
      <w:start w:val="1"/>
      <w:numFmt w:val="bullet"/>
      <w:lvlText w:val=""/>
      <w:lvlJc w:val="left"/>
      <w:pPr>
        <w:tabs>
          <w:tab w:val="num" w:pos="4809"/>
        </w:tabs>
        <w:ind w:left="4809" w:hanging="360"/>
      </w:pPr>
      <w:rPr>
        <w:rFonts w:ascii="Wingdings" w:hAnsi="Wingdings" w:hint="default"/>
      </w:rPr>
    </w:lvl>
    <w:lvl w:ilvl="6" w:tplc="08090001" w:tentative="1">
      <w:start w:val="1"/>
      <w:numFmt w:val="bullet"/>
      <w:lvlText w:val=""/>
      <w:lvlJc w:val="left"/>
      <w:pPr>
        <w:tabs>
          <w:tab w:val="num" w:pos="5529"/>
        </w:tabs>
        <w:ind w:left="5529" w:hanging="360"/>
      </w:pPr>
      <w:rPr>
        <w:rFonts w:ascii="Symbol" w:hAnsi="Symbol" w:hint="default"/>
      </w:rPr>
    </w:lvl>
    <w:lvl w:ilvl="7" w:tplc="08090003" w:tentative="1">
      <w:start w:val="1"/>
      <w:numFmt w:val="bullet"/>
      <w:lvlText w:val="o"/>
      <w:lvlJc w:val="left"/>
      <w:pPr>
        <w:tabs>
          <w:tab w:val="num" w:pos="6249"/>
        </w:tabs>
        <w:ind w:left="6249" w:hanging="360"/>
      </w:pPr>
      <w:rPr>
        <w:rFonts w:ascii="Courier New" w:hAnsi="Courier New" w:hint="default"/>
      </w:rPr>
    </w:lvl>
    <w:lvl w:ilvl="8" w:tplc="08090005" w:tentative="1">
      <w:start w:val="1"/>
      <w:numFmt w:val="bullet"/>
      <w:lvlText w:val=""/>
      <w:lvlJc w:val="left"/>
      <w:pPr>
        <w:tabs>
          <w:tab w:val="num" w:pos="6969"/>
        </w:tabs>
        <w:ind w:left="6969" w:hanging="360"/>
      </w:pPr>
      <w:rPr>
        <w:rFonts w:ascii="Wingdings" w:hAnsi="Wingdings" w:hint="default"/>
      </w:rPr>
    </w:lvl>
  </w:abstractNum>
  <w:abstractNum w:abstractNumId="6">
    <w:nsid w:val="19546684"/>
    <w:multiLevelType w:val="hybridMultilevel"/>
    <w:tmpl w:val="8716D832"/>
    <w:lvl w:ilvl="0" w:tplc="94949CB8">
      <w:start w:val="1"/>
      <w:numFmt w:val="decimal"/>
      <w:pStyle w:val="Heading4"/>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1E107F92"/>
    <w:multiLevelType w:val="hybridMultilevel"/>
    <w:tmpl w:val="5120AFD6"/>
    <w:lvl w:ilvl="0" w:tplc="08090005">
      <w:start w:val="1"/>
      <w:numFmt w:val="bullet"/>
      <w:lvlText w:val=""/>
      <w:lvlJc w:val="left"/>
      <w:pPr>
        <w:ind w:left="1080" w:hanging="360"/>
      </w:pPr>
      <w:rPr>
        <w:rFonts w:ascii="Wingdings" w:hAnsi="Wingdings" w:hint="default"/>
      </w:rPr>
    </w:lvl>
    <w:lvl w:ilvl="1" w:tplc="08090005">
      <w:start w:val="1"/>
      <w:numFmt w:val="bullet"/>
      <w:lvlText w:val=""/>
      <w:lvlJc w:val="left"/>
      <w:pPr>
        <w:ind w:left="1800" w:hanging="360"/>
      </w:pPr>
      <w:rPr>
        <w:rFonts w:ascii="Wingdings" w:hAnsi="Wingdings"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221F31CA"/>
    <w:multiLevelType w:val="hybridMultilevel"/>
    <w:tmpl w:val="7B085D9E"/>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nsid w:val="26843D27"/>
    <w:multiLevelType w:val="hybridMultilevel"/>
    <w:tmpl w:val="AF34F4CA"/>
    <w:lvl w:ilvl="0" w:tplc="2F7E5AC2">
      <w:numFmt w:val="none"/>
      <w:lvlText w:val=""/>
      <w:lvlJc w:val="left"/>
      <w:pPr>
        <w:tabs>
          <w:tab w:val="num" w:pos="1209"/>
        </w:tabs>
        <w:ind w:left="1209" w:hanging="360"/>
      </w:pPr>
      <w:rPr>
        <w:rFonts w:cs="Times New Roman" w:hint="default"/>
      </w:rPr>
    </w:lvl>
    <w:lvl w:ilvl="1" w:tplc="08090005">
      <w:start w:val="1"/>
      <w:numFmt w:val="bullet"/>
      <w:lvlText w:val=""/>
      <w:lvlJc w:val="left"/>
      <w:pPr>
        <w:tabs>
          <w:tab w:val="num" w:pos="1440"/>
        </w:tabs>
        <w:ind w:left="1440" w:hanging="360"/>
      </w:pPr>
      <w:rPr>
        <w:rFonts w:ascii="Wingdings" w:hAnsi="Wingdings"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
    <w:nsid w:val="27B0504E"/>
    <w:multiLevelType w:val="hybridMultilevel"/>
    <w:tmpl w:val="BA0866F4"/>
    <w:lvl w:ilvl="0" w:tplc="BD5865B8">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30A6168A"/>
    <w:multiLevelType w:val="hybridMultilevel"/>
    <w:tmpl w:val="D94AA26A"/>
    <w:lvl w:ilvl="0" w:tplc="08090005">
      <w:start w:val="1"/>
      <w:numFmt w:val="bullet"/>
      <w:lvlText w:val=""/>
      <w:lvlJc w:val="left"/>
      <w:pPr>
        <w:tabs>
          <w:tab w:val="num" w:pos="1209"/>
        </w:tabs>
        <w:ind w:left="1209" w:hanging="360"/>
      </w:pPr>
      <w:rPr>
        <w:rFonts w:ascii="Wingdings" w:hAnsi="Wingdings" w:hint="default"/>
      </w:rPr>
    </w:lvl>
    <w:lvl w:ilvl="1" w:tplc="08090003">
      <w:start w:val="1"/>
      <w:numFmt w:val="bullet"/>
      <w:lvlText w:val="o"/>
      <w:lvlJc w:val="left"/>
      <w:pPr>
        <w:tabs>
          <w:tab w:val="num" w:pos="1929"/>
        </w:tabs>
        <w:ind w:left="1929" w:hanging="360"/>
      </w:pPr>
      <w:rPr>
        <w:rFonts w:ascii="Courier New" w:hAnsi="Courier New" w:hint="default"/>
      </w:rPr>
    </w:lvl>
    <w:lvl w:ilvl="2" w:tplc="08090005">
      <w:start w:val="1"/>
      <w:numFmt w:val="bullet"/>
      <w:lvlText w:val=""/>
      <w:lvlJc w:val="left"/>
      <w:pPr>
        <w:tabs>
          <w:tab w:val="num" w:pos="2649"/>
        </w:tabs>
        <w:ind w:left="2649" w:hanging="360"/>
      </w:pPr>
      <w:rPr>
        <w:rFonts w:ascii="Wingdings" w:hAnsi="Wingdings" w:hint="default"/>
      </w:rPr>
    </w:lvl>
    <w:lvl w:ilvl="3" w:tplc="08090001" w:tentative="1">
      <w:start w:val="1"/>
      <w:numFmt w:val="bullet"/>
      <w:lvlText w:val=""/>
      <w:lvlJc w:val="left"/>
      <w:pPr>
        <w:tabs>
          <w:tab w:val="num" w:pos="3369"/>
        </w:tabs>
        <w:ind w:left="3369" w:hanging="360"/>
      </w:pPr>
      <w:rPr>
        <w:rFonts w:ascii="Symbol" w:hAnsi="Symbol" w:hint="default"/>
      </w:rPr>
    </w:lvl>
    <w:lvl w:ilvl="4" w:tplc="08090003" w:tentative="1">
      <w:start w:val="1"/>
      <w:numFmt w:val="bullet"/>
      <w:lvlText w:val="o"/>
      <w:lvlJc w:val="left"/>
      <w:pPr>
        <w:tabs>
          <w:tab w:val="num" w:pos="4089"/>
        </w:tabs>
        <w:ind w:left="4089" w:hanging="360"/>
      </w:pPr>
      <w:rPr>
        <w:rFonts w:ascii="Courier New" w:hAnsi="Courier New" w:hint="default"/>
      </w:rPr>
    </w:lvl>
    <w:lvl w:ilvl="5" w:tplc="08090005" w:tentative="1">
      <w:start w:val="1"/>
      <w:numFmt w:val="bullet"/>
      <w:lvlText w:val=""/>
      <w:lvlJc w:val="left"/>
      <w:pPr>
        <w:tabs>
          <w:tab w:val="num" w:pos="4809"/>
        </w:tabs>
        <w:ind w:left="4809" w:hanging="360"/>
      </w:pPr>
      <w:rPr>
        <w:rFonts w:ascii="Wingdings" w:hAnsi="Wingdings" w:hint="default"/>
      </w:rPr>
    </w:lvl>
    <w:lvl w:ilvl="6" w:tplc="08090001" w:tentative="1">
      <w:start w:val="1"/>
      <w:numFmt w:val="bullet"/>
      <w:lvlText w:val=""/>
      <w:lvlJc w:val="left"/>
      <w:pPr>
        <w:tabs>
          <w:tab w:val="num" w:pos="5529"/>
        </w:tabs>
        <w:ind w:left="5529" w:hanging="360"/>
      </w:pPr>
      <w:rPr>
        <w:rFonts w:ascii="Symbol" w:hAnsi="Symbol" w:hint="default"/>
      </w:rPr>
    </w:lvl>
    <w:lvl w:ilvl="7" w:tplc="08090003" w:tentative="1">
      <w:start w:val="1"/>
      <w:numFmt w:val="bullet"/>
      <w:lvlText w:val="o"/>
      <w:lvlJc w:val="left"/>
      <w:pPr>
        <w:tabs>
          <w:tab w:val="num" w:pos="6249"/>
        </w:tabs>
        <w:ind w:left="6249" w:hanging="360"/>
      </w:pPr>
      <w:rPr>
        <w:rFonts w:ascii="Courier New" w:hAnsi="Courier New" w:hint="default"/>
      </w:rPr>
    </w:lvl>
    <w:lvl w:ilvl="8" w:tplc="08090005" w:tentative="1">
      <w:start w:val="1"/>
      <w:numFmt w:val="bullet"/>
      <w:lvlText w:val=""/>
      <w:lvlJc w:val="left"/>
      <w:pPr>
        <w:tabs>
          <w:tab w:val="num" w:pos="6969"/>
        </w:tabs>
        <w:ind w:left="6969" w:hanging="360"/>
      </w:pPr>
      <w:rPr>
        <w:rFonts w:ascii="Wingdings" w:hAnsi="Wingdings" w:hint="default"/>
      </w:rPr>
    </w:lvl>
  </w:abstractNum>
  <w:abstractNum w:abstractNumId="12">
    <w:nsid w:val="328D0BD5"/>
    <w:multiLevelType w:val="hybridMultilevel"/>
    <w:tmpl w:val="31E46A84"/>
    <w:lvl w:ilvl="0" w:tplc="6FEC19CC">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34531CC7"/>
    <w:multiLevelType w:val="hybridMultilevel"/>
    <w:tmpl w:val="47E46184"/>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42A90430"/>
    <w:multiLevelType w:val="hybridMultilevel"/>
    <w:tmpl w:val="CF8CA5F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4409443A"/>
    <w:multiLevelType w:val="hybridMultilevel"/>
    <w:tmpl w:val="4B0A0B58"/>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47956434"/>
    <w:multiLevelType w:val="hybridMultilevel"/>
    <w:tmpl w:val="3AF0515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481A51E5"/>
    <w:multiLevelType w:val="hybridMultilevel"/>
    <w:tmpl w:val="AC48D4B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D395931"/>
    <w:multiLevelType w:val="hybridMultilevel"/>
    <w:tmpl w:val="A3965B60"/>
    <w:lvl w:ilvl="0" w:tplc="0809000F">
      <w:start w:val="1"/>
      <w:numFmt w:val="decimal"/>
      <w:lvlText w:val="%1."/>
      <w:lvlJc w:val="left"/>
      <w:pPr>
        <w:tabs>
          <w:tab w:val="num" w:pos="360"/>
        </w:tabs>
        <w:ind w:left="360" w:hanging="360"/>
      </w:pPr>
      <w:rPr>
        <w:rFonts w:cs="Times New Roman"/>
      </w:rPr>
    </w:lvl>
    <w:lvl w:ilvl="1" w:tplc="08090005">
      <w:start w:val="1"/>
      <w:numFmt w:val="bullet"/>
      <w:lvlText w:val=""/>
      <w:lvlJc w:val="left"/>
      <w:pPr>
        <w:tabs>
          <w:tab w:val="num" w:pos="1080"/>
        </w:tabs>
        <w:ind w:left="1080" w:hanging="360"/>
      </w:pPr>
      <w:rPr>
        <w:rFonts w:ascii="Wingdings" w:hAnsi="Wingdings" w:hint="default"/>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9">
    <w:nsid w:val="4E804CC5"/>
    <w:multiLevelType w:val="hybridMultilevel"/>
    <w:tmpl w:val="8C5C3BEA"/>
    <w:lvl w:ilvl="0" w:tplc="08090005">
      <w:start w:val="1"/>
      <w:numFmt w:val="bullet"/>
      <w:lvlText w:val=""/>
      <w:lvlJc w:val="left"/>
      <w:pPr>
        <w:tabs>
          <w:tab w:val="num" w:pos="1080"/>
        </w:tabs>
        <w:ind w:left="1080" w:hanging="360"/>
      </w:pPr>
      <w:rPr>
        <w:rFonts w:ascii="Wingdings" w:hAnsi="Wingdings" w:hint="default"/>
      </w:rPr>
    </w:lvl>
    <w:lvl w:ilvl="1" w:tplc="08090003">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0">
    <w:nsid w:val="556F4A96"/>
    <w:multiLevelType w:val="hybridMultilevel"/>
    <w:tmpl w:val="D1622FF8"/>
    <w:lvl w:ilvl="0" w:tplc="08090005">
      <w:start w:val="1"/>
      <w:numFmt w:val="bullet"/>
      <w:lvlText w:val=""/>
      <w:lvlJc w:val="left"/>
      <w:pPr>
        <w:ind w:left="1434" w:hanging="360"/>
      </w:pPr>
      <w:rPr>
        <w:rFonts w:ascii="Wingdings" w:hAnsi="Wingdings" w:hint="default"/>
      </w:rPr>
    </w:lvl>
    <w:lvl w:ilvl="1" w:tplc="08090003" w:tentative="1">
      <w:start w:val="1"/>
      <w:numFmt w:val="bullet"/>
      <w:lvlText w:val="o"/>
      <w:lvlJc w:val="left"/>
      <w:pPr>
        <w:ind w:left="2154" w:hanging="360"/>
      </w:pPr>
      <w:rPr>
        <w:rFonts w:ascii="Courier New" w:hAnsi="Courier New" w:hint="default"/>
      </w:rPr>
    </w:lvl>
    <w:lvl w:ilvl="2" w:tplc="08090005" w:tentative="1">
      <w:start w:val="1"/>
      <w:numFmt w:val="bullet"/>
      <w:lvlText w:val=""/>
      <w:lvlJc w:val="left"/>
      <w:pPr>
        <w:ind w:left="2874" w:hanging="360"/>
      </w:pPr>
      <w:rPr>
        <w:rFonts w:ascii="Wingdings" w:hAnsi="Wingdings" w:hint="default"/>
      </w:rPr>
    </w:lvl>
    <w:lvl w:ilvl="3" w:tplc="08090001" w:tentative="1">
      <w:start w:val="1"/>
      <w:numFmt w:val="bullet"/>
      <w:lvlText w:val=""/>
      <w:lvlJc w:val="left"/>
      <w:pPr>
        <w:ind w:left="3594" w:hanging="360"/>
      </w:pPr>
      <w:rPr>
        <w:rFonts w:ascii="Symbol" w:hAnsi="Symbol" w:hint="default"/>
      </w:rPr>
    </w:lvl>
    <w:lvl w:ilvl="4" w:tplc="08090003" w:tentative="1">
      <w:start w:val="1"/>
      <w:numFmt w:val="bullet"/>
      <w:lvlText w:val="o"/>
      <w:lvlJc w:val="left"/>
      <w:pPr>
        <w:ind w:left="4314" w:hanging="360"/>
      </w:pPr>
      <w:rPr>
        <w:rFonts w:ascii="Courier New" w:hAnsi="Courier New" w:hint="default"/>
      </w:rPr>
    </w:lvl>
    <w:lvl w:ilvl="5" w:tplc="08090005" w:tentative="1">
      <w:start w:val="1"/>
      <w:numFmt w:val="bullet"/>
      <w:lvlText w:val=""/>
      <w:lvlJc w:val="left"/>
      <w:pPr>
        <w:ind w:left="5034" w:hanging="360"/>
      </w:pPr>
      <w:rPr>
        <w:rFonts w:ascii="Wingdings" w:hAnsi="Wingdings" w:hint="default"/>
      </w:rPr>
    </w:lvl>
    <w:lvl w:ilvl="6" w:tplc="08090001" w:tentative="1">
      <w:start w:val="1"/>
      <w:numFmt w:val="bullet"/>
      <w:lvlText w:val=""/>
      <w:lvlJc w:val="left"/>
      <w:pPr>
        <w:ind w:left="5754" w:hanging="360"/>
      </w:pPr>
      <w:rPr>
        <w:rFonts w:ascii="Symbol" w:hAnsi="Symbol" w:hint="default"/>
      </w:rPr>
    </w:lvl>
    <w:lvl w:ilvl="7" w:tplc="08090003" w:tentative="1">
      <w:start w:val="1"/>
      <w:numFmt w:val="bullet"/>
      <w:lvlText w:val="o"/>
      <w:lvlJc w:val="left"/>
      <w:pPr>
        <w:ind w:left="6474" w:hanging="360"/>
      </w:pPr>
      <w:rPr>
        <w:rFonts w:ascii="Courier New" w:hAnsi="Courier New" w:hint="default"/>
      </w:rPr>
    </w:lvl>
    <w:lvl w:ilvl="8" w:tplc="08090005" w:tentative="1">
      <w:start w:val="1"/>
      <w:numFmt w:val="bullet"/>
      <w:lvlText w:val=""/>
      <w:lvlJc w:val="left"/>
      <w:pPr>
        <w:ind w:left="7194" w:hanging="360"/>
      </w:pPr>
      <w:rPr>
        <w:rFonts w:ascii="Wingdings" w:hAnsi="Wingdings" w:hint="default"/>
      </w:rPr>
    </w:lvl>
  </w:abstractNum>
  <w:abstractNum w:abstractNumId="21">
    <w:nsid w:val="573435A7"/>
    <w:multiLevelType w:val="hybridMultilevel"/>
    <w:tmpl w:val="EBD84396"/>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57470963"/>
    <w:multiLevelType w:val="hybridMultilevel"/>
    <w:tmpl w:val="B084264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nsid w:val="5DE26EB1"/>
    <w:multiLevelType w:val="hybridMultilevel"/>
    <w:tmpl w:val="3828D6AA"/>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24">
    <w:nsid w:val="5E01092C"/>
    <w:multiLevelType w:val="hybridMultilevel"/>
    <w:tmpl w:val="817843EA"/>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25">
    <w:nsid w:val="61763E3D"/>
    <w:multiLevelType w:val="hybridMultilevel"/>
    <w:tmpl w:val="ECB8EA66"/>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26">
    <w:nsid w:val="67D4066C"/>
    <w:multiLevelType w:val="hybridMultilevel"/>
    <w:tmpl w:val="0ABC497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nsid w:val="6C9309C3"/>
    <w:multiLevelType w:val="hybridMultilevel"/>
    <w:tmpl w:val="5B0067AA"/>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nsid w:val="6E66146A"/>
    <w:multiLevelType w:val="hybridMultilevel"/>
    <w:tmpl w:val="AEA22BEA"/>
    <w:lvl w:ilvl="0" w:tplc="08090005">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72127667"/>
    <w:multiLevelType w:val="hybridMultilevel"/>
    <w:tmpl w:val="BF186B94"/>
    <w:lvl w:ilvl="0" w:tplc="76064186">
      <w:start w:val="5"/>
      <w:numFmt w:val="decimal"/>
      <w:pStyle w:val="Heading3"/>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73DD38B5"/>
    <w:multiLevelType w:val="hybridMultilevel"/>
    <w:tmpl w:val="95904278"/>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9"/>
  </w:num>
  <w:num w:numId="2">
    <w:abstractNumId w:val="6"/>
  </w:num>
  <w:num w:numId="3">
    <w:abstractNumId w:val="18"/>
  </w:num>
  <w:num w:numId="4">
    <w:abstractNumId w:val="3"/>
  </w:num>
  <w:num w:numId="5">
    <w:abstractNumId w:val="12"/>
  </w:num>
  <w:num w:numId="6">
    <w:abstractNumId w:val="19"/>
  </w:num>
  <w:num w:numId="7">
    <w:abstractNumId w:val="23"/>
  </w:num>
  <w:num w:numId="8">
    <w:abstractNumId w:val="4"/>
  </w:num>
  <w:num w:numId="9">
    <w:abstractNumId w:val="24"/>
  </w:num>
  <w:num w:numId="10">
    <w:abstractNumId w:val="25"/>
  </w:num>
  <w:num w:numId="11">
    <w:abstractNumId w:val="5"/>
  </w:num>
  <w:num w:numId="12">
    <w:abstractNumId w:val="11"/>
  </w:num>
  <w:num w:numId="13">
    <w:abstractNumId w:val="9"/>
  </w:num>
  <w:num w:numId="14">
    <w:abstractNumId w:val="14"/>
  </w:num>
  <w:num w:numId="15">
    <w:abstractNumId w:val="15"/>
  </w:num>
  <w:num w:numId="16">
    <w:abstractNumId w:val="2"/>
  </w:num>
  <w:num w:numId="17">
    <w:abstractNumId w:val="22"/>
  </w:num>
  <w:num w:numId="18">
    <w:abstractNumId w:val="26"/>
  </w:num>
  <w:num w:numId="19">
    <w:abstractNumId w:val="27"/>
  </w:num>
  <w:num w:numId="20">
    <w:abstractNumId w:val="21"/>
  </w:num>
  <w:num w:numId="21">
    <w:abstractNumId w:val="7"/>
  </w:num>
  <w:num w:numId="22">
    <w:abstractNumId w:val="1"/>
  </w:num>
  <w:num w:numId="23">
    <w:abstractNumId w:val="17"/>
  </w:num>
  <w:num w:numId="24">
    <w:abstractNumId w:val="20"/>
  </w:num>
  <w:num w:numId="25">
    <w:abstractNumId w:val="28"/>
  </w:num>
  <w:num w:numId="26">
    <w:abstractNumId w:val="6"/>
  </w:num>
  <w:num w:numId="27">
    <w:abstractNumId w:val="13"/>
  </w:num>
  <w:num w:numId="28">
    <w:abstractNumId w:val="16"/>
  </w:num>
  <w:num w:numId="29">
    <w:abstractNumId w:val="0"/>
  </w:num>
  <w:num w:numId="30">
    <w:abstractNumId w:val="8"/>
  </w:num>
  <w:num w:numId="31">
    <w:abstractNumId w:val="30"/>
  </w:num>
  <w:num w:numId="32">
    <w:abstractNumId w:val="10"/>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hdrShapeDefaults>
    <o:shapedefaults v:ext="edit" spidmax="16385"/>
  </w:hdrShapeDefaults>
  <w:footnotePr>
    <w:footnote w:id="-1"/>
    <w:footnote w:id="0"/>
  </w:footnotePr>
  <w:endnotePr>
    <w:endnote w:id="-1"/>
    <w:endnote w:id="0"/>
  </w:endnotePr>
  <w:compat/>
  <w:rsids>
    <w:rsidRoot w:val="00FB336D"/>
    <w:rsid w:val="00000F06"/>
    <w:rsid w:val="0000132B"/>
    <w:rsid w:val="00001527"/>
    <w:rsid w:val="0000285F"/>
    <w:rsid w:val="00003BA2"/>
    <w:rsid w:val="00003FDE"/>
    <w:rsid w:val="00004D48"/>
    <w:rsid w:val="00005332"/>
    <w:rsid w:val="00006A27"/>
    <w:rsid w:val="00010752"/>
    <w:rsid w:val="000109B5"/>
    <w:rsid w:val="00011464"/>
    <w:rsid w:val="00012511"/>
    <w:rsid w:val="00012CBD"/>
    <w:rsid w:val="00012E8E"/>
    <w:rsid w:val="00013353"/>
    <w:rsid w:val="00014394"/>
    <w:rsid w:val="0001480E"/>
    <w:rsid w:val="00015CDD"/>
    <w:rsid w:val="00016364"/>
    <w:rsid w:val="0002265D"/>
    <w:rsid w:val="000229D5"/>
    <w:rsid w:val="00024055"/>
    <w:rsid w:val="0002462C"/>
    <w:rsid w:val="0002593B"/>
    <w:rsid w:val="00025E0E"/>
    <w:rsid w:val="000300CC"/>
    <w:rsid w:val="00033D76"/>
    <w:rsid w:val="00035B44"/>
    <w:rsid w:val="00036046"/>
    <w:rsid w:val="000368A0"/>
    <w:rsid w:val="00037BDB"/>
    <w:rsid w:val="00042215"/>
    <w:rsid w:val="00046A38"/>
    <w:rsid w:val="00047281"/>
    <w:rsid w:val="00050092"/>
    <w:rsid w:val="000508F5"/>
    <w:rsid w:val="000511E4"/>
    <w:rsid w:val="00051606"/>
    <w:rsid w:val="0005218C"/>
    <w:rsid w:val="000538A3"/>
    <w:rsid w:val="00054AAB"/>
    <w:rsid w:val="00054BED"/>
    <w:rsid w:val="00055D47"/>
    <w:rsid w:val="0005653D"/>
    <w:rsid w:val="00066501"/>
    <w:rsid w:val="00067A08"/>
    <w:rsid w:val="00070079"/>
    <w:rsid w:val="00070944"/>
    <w:rsid w:val="00070995"/>
    <w:rsid w:val="00071906"/>
    <w:rsid w:val="00071EF7"/>
    <w:rsid w:val="000720A5"/>
    <w:rsid w:val="00073359"/>
    <w:rsid w:val="00073B67"/>
    <w:rsid w:val="00073EAC"/>
    <w:rsid w:val="00075AC9"/>
    <w:rsid w:val="00080DF1"/>
    <w:rsid w:val="00083231"/>
    <w:rsid w:val="00084583"/>
    <w:rsid w:val="00087181"/>
    <w:rsid w:val="000902EB"/>
    <w:rsid w:val="00091273"/>
    <w:rsid w:val="00092034"/>
    <w:rsid w:val="000926A0"/>
    <w:rsid w:val="00093B88"/>
    <w:rsid w:val="000948B7"/>
    <w:rsid w:val="000960E7"/>
    <w:rsid w:val="0009682F"/>
    <w:rsid w:val="0009687F"/>
    <w:rsid w:val="0009748B"/>
    <w:rsid w:val="000A2B44"/>
    <w:rsid w:val="000A2EE7"/>
    <w:rsid w:val="000A5520"/>
    <w:rsid w:val="000A5C42"/>
    <w:rsid w:val="000A6C7F"/>
    <w:rsid w:val="000A6D15"/>
    <w:rsid w:val="000A764C"/>
    <w:rsid w:val="000A7CFA"/>
    <w:rsid w:val="000A7F27"/>
    <w:rsid w:val="000B1409"/>
    <w:rsid w:val="000B2165"/>
    <w:rsid w:val="000B3BB4"/>
    <w:rsid w:val="000B486D"/>
    <w:rsid w:val="000B4B47"/>
    <w:rsid w:val="000B4D45"/>
    <w:rsid w:val="000B4E84"/>
    <w:rsid w:val="000B51BA"/>
    <w:rsid w:val="000B5912"/>
    <w:rsid w:val="000B5F03"/>
    <w:rsid w:val="000C0989"/>
    <w:rsid w:val="000C1756"/>
    <w:rsid w:val="000C206A"/>
    <w:rsid w:val="000C231D"/>
    <w:rsid w:val="000C337E"/>
    <w:rsid w:val="000C3724"/>
    <w:rsid w:val="000C3B78"/>
    <w:rsid w:val="000C409D"/>
    <w:rsid w:val="000C43D7"/>
    <w:rsid w:val="000C4CDC"/>
    <w:rsid w:val="000C4EB2"/>
    <w:rsid w:val="000C65C2"/>
    <w:rsid w:val="000C686E"/>
    <w:rsid w:val="000C6C23"/>
    <w:rsid w:val="000C6DA3"/>
    <w:rsid w:val="000C72A4"/>
    <w:rsid w:val="000D1AF1"/>
    <w:rsid w:val="000D2300"/>
    <w:rsid w:val="000D2BCE"/>
    <w:rsid w:val="000D4198"/>
    <w:rsid w:val="000D5271"/>
    <w:rsid w:val="000D6985"/>
    <w:rsid w:val="000D6E08"/>
    <w:rsid w:val="000D6E46"/>
    <w:rsid w:val="000D70A7"/>
    <w:rsid w:val="000D735F"/>
    <w:rsid w:val="000E0750"/>
    <w:rsid w:val="000E18C2"/>
    <w:rsid w:val="000E20CD"/>
    <w:rsid w:val="000E2DC3"/>
    <w:rsid w:val="000E37D6"/>
    <w:rsid w:val="000E3C1C"/>
    <w:rsid w:val="000E52CC"/>
    <w:rsid w:val="000E5968"/>
    <w:rsid w:val="000E62BC"/>
    <w:rsid w:val="000E6A81"/>
    <w:rsid w:val="000F0820"/>
    <w:rsid w:val="000F180F"/>
    <w:rsid w:val="000F196C"/>
    <w:rsid w:val="000F1E27"/>
    <w:rsid w:val="000F4524"/>
    <w:rsid w:val="000F4B4A"/>
    <w:rsid w:val="000F68FF"/>
    <w:rsid w:val="000F6B12"/>
    <w:rsid w:val="00100C3E"/>
    <w:rsid w:val="00101D3B"/>
    <w:rsid w:val="00101FE6"/>
    <w:rsid w:val="00102448"/>
    <w:rsid w:val="00102BAE"/>
    <w:rsid w:val="00102CE2"/>
    <w:rsid w:val="0010443F"/>
    <w:rsid w:val="00104F21"/>
    <w:rsid w:val="001059E0"/>
    <w:rsid w:val="001059E2"/>
    <w:rsid w:val="00106911"/>
    <w:rsid w:val="001112BF"/>
    <w:rsid w:val="00113D96"/>
    <w:rsid w:val="001142CD"/>
    <w:rsid w:val="00114405"/>
    <w:rsid w:val="00114D93"/>
    <w:rsid w:val="00115344"/>
    <w:rsid w:val="001175E5"/>
    <w:rsid w:val="0012200E"/>
    <w:rsid w:val="001226E2"/>
    <w:rsid w:val="00122905"/>
    <w:rsid w:val="0012468E"/>
    <w:rsid w:val="00124827"/>
    <w:rsid w:val="00127E89"/>
    <w:rsid w:val="00130724"/>
    <w:rsid w:val="00133DA9"/>
    <w:rsid w:val="00133F4C"/>
    <w:rsid w:val="001356B2"/>
    <w:rsid w:val="00136F19"/>
    <w:rsid w:val="00140C75"/>
    <w:rsid w:val="00141287"/>
    <w:rsid w:val="0014179B"/>
    <w:rsid w:val="0014195E"/>
    <w:rsid w:val="001422B2"/>
    <w:rsid w:val="00142AEE"/>
    <w:rsid w:val="00142CE8"/>
    <w:rsid w:val="001440B6"/>
    <w:rsid w:val="001474C6"/>
    <w:rsid w:val="00151CD2"/>
    <w:rsid w:val="0015424C"/>
    <w:rsid w:val="00154C6E"/>
    <w:rsid w:val="00155452"/>
    <w:rsid w:val="001563EB"/>
    <w:rsid w:val="00157D84"/>
    <w:rsid w:val="00160F5D"/>
    <w:rsid w:val="0016170C"/>
    <w:rsid w:val="00161CEF"/>
    <w:rsid w:val="001621BC"/>
    <w:rsid w:val="0016240B"/>
    <w:rsid w:val="00162FF3"/>
    <w:rsid w:val="00165814"/>
    <w:rsid w:val="00165D71"/>
    <w:rsid w:val="00166314"/>
    <w:rsid w:val="001732F8"/>
    <w:rsid w:val="00173B29"/>
    <w:rsid w:val="00173DB6"/>
    <w:rsid w:val="001759F9"/>
    <w:rsid w:val="001764A8"/>
    <w:rsid w:val="00176DC7"/>
    <w:rsid w:val="001801C9"/>
    <w:rsid w:val="00180A53"/>
    <w:rsid w:val="00181E6B"/>
    <w:rsid w:val="00182C06"/>
    <w:rsid w:val="001830FA"/>
    <w:rsid w:val="001840A2"/>
    <w:rsid w:val="00184793"/>
    <w:rsid w:val="00184CAE"/>
    <w:rsid w:val="00186C0F"/>
    <w:rsid w:val="001917FA"/>
    <w:rsid w:val="00191A55"/>
    <w:rsid w:val="00193533"/>
    <w:rsid w:val="00193F7B"/>
    <w:rsid w:val="00194198"/>
    <w:rsid w:val="001978E6"/>
    <w:rsid w:val="001A262F"/>
    <w:rsid w:val="001A4162"/>
    <w:rsid w:val="001A43C7"/>
    <w:rsid w:val="001A624A"/>
    <w:rsid w:val="001A6F98"/>
    <w:rsid w:val="001A7988"/>
    <w:rsid w:val="001B0DDC"/>
    <w:rsid w:val="001B141F"/>
    <w:rsid w:val="001B22F6"/>
    <w:rsid w:val="001B272D"/>
    <w:rsid w:val="001B338E"/>
    <w:rsid w:val="001B3610"/>
    <w:rsid w:val="001B3888"/>
    <w:rsid w:val="001B5C7E"/>
    <w:rsid w:val="001B5D6D"/>
    <w:rsid w:val="001B6494"/>
    <w:rsid w:val="001B6DA2"/>
    <w:rsid w:val="001B79D4"/>
    <w:rsid w:val="001B7F7D"/>
    <w:rsid w:val="001C064C"/>
    <w:rsid w:val="001C1571"/>
    <w:rsid w:val="001C187E"/>
    <w:rsid w:val="001C2164"/>
    <w:rsid w:val="001C278B"/>
    <w:rsid w:val="001C37E0"/>
    <w:rsid w:val="001C4B6F"/>
    <w:rsid w:val="001C4DA3"/>
    <w:rsid w:val="001C4EB7"/>
    <w:rsid w:val="001C6E82"/>
    <w:rsid w:val="001C793A"/>
    <w:rsid w:val="001D0B89"/>
    <w:rsid w:val="001D0D92"/>
    <w:rsid w:val="001D2C34"/>
    <w:rsid w:val="001D3457"/>
    <w:rsid w:val="001D3E4F"/>
    <w:rsid w:val="001D567C"/>
    <w:rsid w:val="001E096A"/>
    <w:rsid w:val="001E0D3E"/>
    <w:rsid w:val="001E0D99"/>
    <w:rsid w:val="001E0FE0"/>
    <w:rsid w:val="001E1FC3"/>
    <w:rsid w:val="001E24EB"/>
    <w:rsid w:val="001E26E5"/>
    <w:rsid w:val="001E2FF2"/>
    <w:rsid w:val="001E6186"/>
    <w:rsid w:val="001E7BB0"/>
    <w:rsid w:val="001F01A3"/>
    <w:rsid w:val="001F073B"/>
    <w:rsid w:val="001F1861"/>
    <w:rsid w:val="001F4C51"/>
    <w:rsid w:val="001F7195"/>
    <w:rsid w:val="001F76BF"/>
    <w:rsid w:val="001F7E6A"/>
    <w:rsid w:val="0020128F"/>
    <w:rsid w:val="00202613"/>
    <w:rsid w:val="0020277F"/>
    <w:rsid w:val="002028B1"/>
    <w:rsid w:val="002029F5"/>
    <w:rsid w:val="00203312"/>
    <w:rsid w:val="0020398A"/>
    <w:rsid w:val="00203A65"/>
    <w:rsid w:val="002058F7"/>
    <w:rsid w:val="0020693E"/>
    <w:rsid w:val="00206BF6"/>
    <w:rsid w:val="002073F5"/>
    <w:rsid w:val="00211F87"/>
    <w:rsid w:val="00212359"/>
    <w:rsid w:val="002125A9"/>
    <w:rsid w:val="00213119"/>
    <w:rsid w:val="00213BD2"/>
    <w:rsid w:val="002143DD"/>
    <w:rsid w:val="00216005"/>
    <w:rsid w:val="00217287"/>
    <w:rsid w:val="002173DA"/>
    <w:rsid w:val="002178A3"/>
    <w:rsid w:val="00217BB1"/>
    <w:rsid w:val="002209CB"/>
    <w:rsid w:val="00220A4F"/>
    <w:rsid w:val="002211AB"/>
    <w:rsid w:val="002213C8"/>
    <w:rsid w:val="00221F62"/>
    <w:rsid w:val="00222D0A"/>
    <w:rsid w:val="00223052"/>
    <w:rsid w:val="002235AA"/>
    <w:rsid w:val="00223BF4"/>
    <w:rsid w:val="00227D83"/>
    <w:rsid w:val="0023366A"/>
    <w:rsid w:val="00236544"/>
    <w:rsid w:val="00237472"/>
    <w:rsid w:val="0024032B"/>
    <w:rsid w:val="002409CF"/>
    <w:rsid w:val="00241542"/>
    <w:rsid w:val="0024247D"/>
    <w:rsid w:val="00243387"/>
    <w:rsid w:val="002450A1"/>
    <w:rsid w:val="00247375"/>
    <w:rsid w:val="00247ECE"/>
    <w:rsid w:val="00250E70"/>
    <w:rsid w:val="00251A22"/>
    <w:rsid w:val="002523B4"/>
    <w:rsid w:val="00252768"/>
    <w:rsid w:val="002555FC"/>
    <w:rsid w:val="002558AF"/>
    <w:rsid w:val="00255F24"/>
    <w:rsid w:val="00256BC9"/>
    <w:rsid w:val="00256FE7"/>
    <w:rsid w:val="002618B5"/>
    <w:rsid w:val="00261F97"/>
    <w:rsid w:val="00262EC5"/>
    <w:rsid w:val="002631D8"/>
    <w:rsid w:val="0026349F"/>
    <w:rsid w:val="00267FCD"/>
    <w:rsid w:val="002700AB"/>
    <w:rsid w:val="00271BFB"/>
    <w:rsid w:val="002734B4"/>
    <w:rsid w:val="002736D8"/>
    <w:rsid w:val="002743A7"/>
    <w:rsid w:val="002748ED"/>
    <w:rsid w:val="00275CAF"/>
    <w:rsid w:val="0028008B"/>
    <w:rsid w:val="00282E36"/>
    <w:rsid w:val="00284D39"/>
    <w:rsid w:val="00284DB7"/>
    <w:rsid w:val="002850A1"/>
    <w:rsid w:val="0028554C"/>
    <w:rsid w:val="0028582B"/>
    <w:rsid w:val="00286D8D"/>
    <w:rsid w:val="00287271"/>
    <w:rsid w:val="00287D8B"/>
    <w:rsid w:val="00290643"/>
    <w:rsid w:val="002923B2"/>
    <w:rsid w:val="002942E3"/>
    <w:rsid w:val="0029480A"/>
    <w:rsid w:val="0029561E"/>
    <w:rsid w:val="00296723"/>
    <w:rsid w:val="00297424"/>
    <w:rsid w:val="002A3807"/>
    <w:rsid w:val="002A3FB7"/>
    <w:rsid w:val="002A4762"/>
    <w:rsid w:val="002A4CAF"/>
    <w:rsid w:val="002A5AA9"/>
    <w:rsid w:val="002A5ABF"/>
    <w:rsid w:val="002B2699"/>
    <w:rsid w:val="002B2E2A"/>
    <w:rsid w:val="002B512B"/>
    <w:rsid w:val="002B5417"/>
    <w:rsid w:val="002B5AD3"/>
    <w:rsid w:val="002B6E78"/>
    <w:rsid w:val="002C057D"/>
    <w:rsid w:val="002C43BF"/>
    <w:rsid w:val="002C47DA"/>
    <w:rsid w:val="002C4AFE"/>
    <w:rsid w:val="002C5573"/>
    <w:rsid w:val="002C5703"/>
    <w:rsid w:val="002C5E9D"/>
    <w:rsid w:val="002C74ED"/>
    <w:rsid w:val="002C7EC9"/>
    <w:rsid w:val="002D1770"/>
    <w:rsid w:val="002D180A"/>
    <w:rsid w:val="002D186D"/>
    <w:rsid w:val="002D1884"/>
    <w:rsid w:val="002D1A20"/>
    <w:rsid w:val="002D2C21"/>
    <w:rsid w:val="002D318A"/>
    <w:rsid w:val="002D3C8D"/>
    <w:rsid w:val="002D55BF"/>
    <w:rsid w:val="002D5A29"/>
    <w:rsid w:val="002D778E"/>
    <w:rsid w:val="002E209D"/>
    <w:rsid w:val="002E2942"/>
    <w:rsid w:val="002E2B79"/>
    <w:rsid w:val="002E2C72"/>
    <w:rsid w:val="002E2D8B"/>
    <w:rsid w:val="002E3101"/>
    <w:rsid w:val="002E5196"/>
    <w:rsid w:val="002E5291"/>
    <w:rsid w:val="002E54AC"/>
    <w:rsid w:val="002E68DC"/>
    <w:rsid w:val="002E6C31"/>
    <w:rsid w:val="002E7F84"/>
    <w:rsid w:val="002F1B13"/>
    <w:rsid w:val="002F1C93"/>
    <w:rsid w:val="002F39A0"/>
    <w:rsid w:val="002F56B8"/>
    <w:rsid w:val="002F5C06"/>
    <w:rsid w:val="00300BA7"/>
    <w:rsid w:val="00301ACE"/>
    <w:rsid w:val="00304ECD"/>
    <w:rsid w:val="00304EF6"/>
    <w:rsid w:val="00305EB2"/>
    <w:rsid w:val="003119B4"/>
    <w:rsid w:val="00311BE5"/>
    <w:rsid w:val="00311F07"/>
    <w:rsid w:val="003122D8"/>
    <w:rsid w:val="003123D2"/>
    <w:rsid w:val="0031289B"/>
    <w:rsid w:val="00312BA3"/>
    <w:rsid w:val="00312C51"/>
    <w:rsid w:val="00312C9B"/>
    <w:rsid w:val="00313E68"/>
    <w:rsid w:val="00314986"/>
    <w:rsid w:val="00316170"/>
    <w:rsid w:val="00316B2E"/>
    <w:rsid w:val="003202CA"/>
    <w:rsid w:val="00320A94"/>
    <w:rsid w:val="00321D1C"/>
    <w:rsid w:val="00321D2E"/>
    <w:rsid w:val="003223BA"/>
    <w:rsid w:val="00322498"/>
    <w:rsid w:val="003235B5"/>
    <w:rsid w:val="003257C2"/>
    <w:rsid w:val="003259C5"/>
    <w:rsid w:val="003263F0"/>
    <w:rsid w:val="003302EE"/>
    <w:rsid w:val="00333BD2"/>
    <w:rsid w:val="003346AE"/>
    <w:rsid w:val="0033702A"/>
    <w:rsid w:val="00337564"/>
    <w:rsid w:val="00337FC0"/>
    <w:rsid w:val="003411C7"/>
    <w:rsid w:val="003412B0"/>
    <w:rsid w:val="00342F03"/>
    <w:rsid w:val="00343E6E"/>
    <w:rsid w:val="0035105A"/>
    <w:rsid w:val="0035254D"/>
    <w:rsid w:val="00352EC7"/>
    <w:rsid w:val="00354084"/>
    <w:rsid w:val="0035563F"/>
    <w:rsid w:val="00355B17"/>
    <w:rsid w:val="00355DEB"/>
    <w:rsid w:val="00356143"/>
    <w:rsid w:val="003618A8"/>
    <w:rsid w:val="00361B3A"/>
    <w:rsid w:val="00364CC3"/>
    <w:rsid w:val="003705A2"/>
    <w:rsid w:val="00374F0B"/>
    <w:rsid w:val="00376A41"/>
    <w:rsid w:val="0038105D"/>
    <w:rsid w:val="0038117A"/>
    <w:rsid w:val="003820B2"/>
    <w:rsid w:val="003823EC"/>
    <w:rsid w:val="00384AB9"/>
    <w:rsid w:val="00384F4A"/>
    <w:rsid w:val="0038575D"/>
    <w:rsid w:val="00390485"/>
    <w:rsid w:val="00391148"/>
    <w:rsid w:val="0039323F"/>
    <w:rsid w:val="00393C88"/>
    <w:rsid w:val="003A14B3"/>
    <w:rsid w:val="003A1FFC"/>
    <w:rsid w:val="003A24F3"/>
    <w:rsid w:val="003A28F2"/>
    <w:rsid w:val="003A33C1"/>
    <w:rsid w:val="003A3735"/>
    <w:rsid w:val="003A3966"/>
    <w:rsid w:val="003A3A85"/>
    <w:rsid w:val="003A49FF"/>
    <w:rsid w:val="003A6C82"/>
    <w:rsid w:val="003A7F64"/>
    <w:rsid w:val="003B0BA2"/>
    <w:rsid w:val="003B2798"/>
    <w:rsid w:val="003B58F9"/>
    <w:rsid w:val="003B7273"/>
    <w:rsid w:val="003B7391"/>
    <w:rsid w:val="003B7FD1"/>
    <w:rsid w:val="003B7FE1"/>
    <w:rsid w:val="003C0ECC"/>
    <w:rsid w:val="003C2841"/>
    <w:rsid w:val="003C29CD"/>
    <w:rsid w:val="003C3541"/>
    <w:rsid w:val="003C4EC6"/>
    <w:rsid w:val="003D1F38"/>
    <w:rsid w:val="003D32BA"/>
    <w:rsid w:val="003D4DC5"/>
    <w:rsid w:val="003D5356"/>
    <w:rsid w:val="003D5C55"/>
    <w:rsid w:val="003D6DE6"/>
    <w:rsid w:val="003D6F41"/>
    <w:rsid w:val="003D78AB"/>
    <w:rsid w:val="003E0BD7"/>
    <w:rsid w:val="003E2D8F"/>
    <w:rsid w:val="003E4918"/>
    <w:rsid w:val="003E5AE1"/>
    <w:rsid w:val="003E6961"/>
    <w:rsid w:val="003F1A1C"/>
    <w:rsid w:val="003F5101"/>
    <w:rsid w:val="003F6BFE"/>
    <w:rsid w:val="003F72B3"/>
    <w:rsid w:val="003F7320"/>
    <w:rsid w:val="004005A7"/>
    <w:rsid w:val="00405962"/>
    <w:rsid w:val="00406D55"/>
    <w:rsid w:val="004112BC"/>
    <w:rsid w:val="00411DFD"/>
    <w:rsid w:val="00411EFF"/>
    <w:rsid w:val="004121AB"/>
    <w:rsid w:val="00412BCD"/>
    <w:rsid w:val="00413315"/>
    <w:rsid w:val="00414300"/>
    <w:rsid w:val="00414806"/>
    <w:rsid w:val="004165F0"/>
    <w:rsid w:val="0041727E"/>
    <w:rsid w:val="00417BB2"/>
    <w:rsid w:val="00423D67"/>
    <w:rsid w:val="0042487F"/>
    <w:rsid w:val="004248AB"/>
    <w:rsid w:val="00425231"/>
    <w:rsid w:val="0042666E"/>
    <w:rsid w:val="0042710E"/>
    <w:rsid w:val="00430363"/>
    <w:rsid w:val="004306DE"/>
    <w:rsid w:val="004313F7"/>
    <w:rsid w:val="0043250E"/>
    <w:rsid w:val="004347CC"/>
    <w:rsid w:val="004372E3"/>
    <w:rsid w:val="00437476"/>
    <w:rsid w:val="0044078F"/>
    <w:rsid w:val="00440871"/>
    <w:rsid w:val="00440BA9"/>
    <w:rsid w:val="00440E68"/>
    <w:rsid w:val="0044116A"/>
    <w:rsid w:val="00441365"/>
    <w:rsid w:val="00441DC0"/>
    <w:rsid w:val="00441EF1"/>
    <w:rsid w:val="004428D5"/>
    <w:rsid w:val="00442CAB"/>
    <w:rsid w:val="00443357"/>
    <w:rsid w:val="00443BE6"/>
    <w:rsid w:val="00444973"/>
    <w:rsid w:val="0044609D"/>
    <w:rsid w:val="00446A42"/>
    <w:rsid w:val="00446C14"/>
    <w:rsid w:val="00450D1B"/>
    <w:rsid w:val="00453205"/>
    <w:rsid w:val="0045371B"/>
    <w:rsid w:val="00453CCA"/>
    <w:rsid w:val="004541A5"/>
    <w:rsid w:val="004554FB"/>
    <w:rsid w:val="00456F17"/>
    <w:rsid w:val="00462FEF"/>
    <w:rsid w:val="004750C7"/>
    <w:rsid w:val="004771FF"/>
    <w:rsid w:val="00477B32"/>
    <w:rsid w:val="00477DD3"/>
    <w:rsid w:val="004813F2"/>
    <w:rsid w:val="00482572"/>
    <w:rsid w:val="00482E04"/>
    <w:rsid w:val="004831D6"/>
    <w:rsid w:val="00485AD4"/>
    <w:rsid w:val="00486236"/>
    <w:rsid w:val="00486412"/>
    <w:rsid w:val="00486921"/>
    <w:rsid w:val="00487F73"/>
    <w:rsid w:val="00490DAE"/>
    <w:rsid w:val="00490ECC"/>
    <w:rsid w:val="004912CB"/>
    <w:rsid w:val="004919C1"/>
    <w:rsid w:val="0049260B"/>
    <w:rsid w:val="00496099"/>
    <w:rsid w:val="004961B0"/>
    <w:rsid w:val="00496344"/>
    <w:rsid w:val="004967BC"/>
    <w:rsid w:val="004975E7"/>
    <w:rsid w:val="004A05F2"/>
    <w:rsid w:val="004A0A90"/>
    <w:rsid w:val="004A0DD1"/>
    <w:rsid w:val="004A1425"/>
    <w:rsid w:val="004A18D3"/>
    <w:rsid w:val="004A1CF4"/>
    <w:rsid w:val="004A212D"/>
    <w:rsid w:val="004A2782"/>
    <w:rsid w:val="004A33C6"/>
    <w:rsid w:val="004A4680"/>
    <w:rsid w:val="004A47D3"/>
    <w:rsid w:val="004A5911"/>
    <w:rsid w:val="004A5B61"/>
    <w:rsid w:val="004A6909"/>
    <w:rsid w:val="004A7AC5"/>
    <w:rsid w:val="004B1DBC"/>
    <w:rsid w:val="004B2728"/>
    <w:rsid w:val="004B3349"/>
    <w:rsid w:val="004B357E"/>
    <w:rsid w:val="004B4AAE"/>
    <w:rsid w:val="004B79DD"/>
    <w:rsid w:val="004C0890"/>
    <w:rsid w:val="004C1AAE"/>
    <w:rsid w:val="004C285F"/>
    <w:rsid w:val="004C3D6D"/>
    <w:rsid w:val="004C4208"/>
    <w:rsid w:val="004C4232"/>
    <w:rsid w:val="004C46F2"/>
    <w:rsid w:val="004C510B"/>
    <w:rsid w:val="004C562B"/>
    <w:rsid w:val="004D00F2"/>
    <w:rsid w:val="004D0204"/>
    <w:rsid w:val="004D0212"/>
    <w:rsid w:val="004D0C39"/>
    <w:rsid w:val="004D433F"/>
    <w:rsid w:val="004D5BE8"/>
    <w:rsid w:val="004D6FFC"/>
    <w:rsid w:val="004E0237"/>
    <w:rsid w:val="004E0C80"/>
    <w:rsid w:val="004E0CB0"/>
    <w:rsid w:val="004E2460"/>
    <w:rsid w:val="004E3643"/>
    <w:rsid w:val="004E3D8D"/>
    <w:rsid w:val="004E4102"/>
    <w:rsid w:val="004E4B04"/>
    <w:rsid w:val="004E5EEC"/>
    <w:rsid w:val="004E666C"/>
    <w:rsid w:val="004E7128"/>
    <w:rsid w:val="004E7546"/>
    <w:rsid w:val="004F2771"/>
    <w:rsid w:val="004F45B3"/>
    <w:rsid w:val="004F45FF"/>
    <w:rsid w:val="004F5BCD"/>
    <w:rsid w:val="004F5F1D"/>
    <w:rsid w:val="004F626A"/>
    <w:rsid w:val="004F7F35"/>
    <w:rsid w:val="0050210B"/>
    <w:rsid w:val="005023DE"/>
    <w:rsid w:val="005028A9"/>
    <w:rsid w:val="00504EB3"/>
    <w:rsid w:val="00505171"/>
    <w:rsid w:val="00506024"/>
    <w:rsid w:val="00506FA4"/>
    <w:rsid w:val="00507173"/>
    <w:rsid w:val="005076DB"/>
    <w:rsid w:val="0050779E"/>
    <w:rsid w:val="005100FB"/>
    <w:rsid w:val="00510A67"/>
    <w:rsid w:val="00511C73"/>
    <w:rsid w:val="00512829"/>
    <w:rsid w:val="00512E38"/>
    <w:rsid w:val="005141E7"/>
    <w:rsid w:val="005150DD"/>
    <w:rsid w:val="0051684B"/>
    <w:rsid w:val="0051795E"/>
    <w:rsid w:val="00517A0C"/>
    <w:rsid w:val="0052029A"/>
    <w:rsid w:val="00521B8C"/>
    <w:rsid w:val="00521D1F"/>
    <w:rsid w:val="00522792"/>
    <w:rsid w:val="005245FF"/>
    <w:rsid w:val="00524847"/>
    <w:rsid w:val="005250A3"/>
    <w:rsid w:val="0052687E"/>
    <w:rsid w:val="005272A0"/>
    <w:rsid w:val="00530252"/>
    <w:rsid w:val="005315D2"/>
    <w:rsid w:val="00532E45"/>
    <w:rsid w:val="00534840"/>
    <w:rsid w:val="00534D03"/>
    <w:rsid w:val="00535349"/>
    <w:rsid w:val="005360F9"/>
    <w:rsid w:val="0053648B"/>
    <w:rsid w:val="005371AE"/>
    <w:rsid w:val="00537F8F"/>
    <w:rsid w:val="00542798"/>
    <w:rsid w:val="00547862"/>
    <w:rsid w:val="00547F05"/>
    <w:rsid w:val="00550D35"/>
    <w:rsid w:val="00551D25"/>
    <w:rsid w:val="00552F32"/>
    <w:rsid w:val="00553595"/>
    <w:rsid w:val="00553AE7"/>
    <w:rsid w:val="00554275"/>
    <w:rsid w:val="00554337"/>
    <w:rsid w:val="00554F70"/>
    <w:rsid w:val="0055551B"/>
    <w:rsid w:val="005561F0"/>
    <w:rsid w:val="005562D8"/>
    <w:rsid w:val="00556F32"/>
    <w:rsid w:val="0056192F"/>
    <w:rsid w:val="00566F15"/>
    <w:rsid w:val="005700CB"/>
    <w:rsid w:val="0057010E"/>
    <w:rsid w:val="005711E7"/>
    <w:rsid w:val="005712EF"/>
    <w:rsid w:val="005729FB"/>
    <w:rsid w:val="00572BF8"/>
    <w:rsid w:val="005730C7"/>
    <w:rsid w:val="005745F0"/>
    <w:rsid w:val="00577A49"/>
    <w:rsid w:val="00580EF9"/>
    <w:rsid w:val="00585BEB"/>
    <w:rsid w:val="005867EB"/>
    <w:rsid w:val="0058799A"/>
    <w:rsid w:val="00591EB5"/>
    <w:rsid w:val="0059299E"/>
    <w:rsid w:val="00594963"/>
    <w:rsid w:val="005976D8"/>
    <w:rsid w:val="005A14BB"/>
    <w:rsid w:val="005A1881"/>
    <w:rsid w:val="005A1C6C"/>
    <w:rsid w:val="005A2261"/>
    <w:rsid w:val="005A269F"/>
    <w:rsid w:val="005A355F"/>
    <w:rsid w:val="005A3D8C"/>
    <w:rsid w:val="005A6432"/>
    <w:rsid w:val="005B0715"/>
    <w:rsid w:val="005B0C20"/>
    <w:rsid w:val="005B3FCB"/>
    <w:rsid w:val="005B472D"/>
    <w:rsid w:val="005B5C0F"/>
    <w:rsid w:val="005B5D9A"/>
    <w:rsid w:val="005B6DD1"/>
    <w:rsid w:val="005C0C3E"/>
    <w:rsid w:val="005C18BF"/>
    <w:rsid w:val="005C2169"/>
    <w:rsid w:val="005C4788"/>
    <w:rsid w:val="005C6818"/>
    <w:rsid w:val="005D0667"/>
    <w:rsid w:val="005D1096"/>
    <w:rsid w:val="005D2BAF"/>
    <w:rsid w:val="005D4DD6"/>
    <w:rsid w:val="005D5C84"/>
    <w:rsid w:val="005D7114"/>
    <w:rsid w:val="005D7F3F"/>
    <w:rsid w:val="005E1F47"/>
    <w:rsid w:val="005E2398"/>
    <w:rsid w:val="005E2F0F"/>
    <w:rsid w:val="005E34A3"/>
    <w:rsid w:val="005E3925"/>
    <w:rsid w:val="005E3B49"/>
    <w:rsid w:val="005E42EA"/>
    <w:rsid w:val="005E4414"/>
    <w:rsid w:val="005E56C5"/>
    <w:rsid w:val="005E6127"/>
    <w:rsid w:val="005E6809"/>
    <w:rsid w:val="005E7CD0"/>
    <w:rsid w:val="005F00BE"/>
    <w:rsid w:val="005F09CC"/>
    <w:rsid w:val="005F0E5A"/>
    <w:rsid w:val="005F1ED7"/>
    <w:rsid w:val="005F2F8F"/>
    <w:rsid w:val="005F3D9A"/>
    <w:rsid w:val="005F58EE"/>
    <w:rsid w:val="005F5A90"/>
    <w:rsid w:val="005F5E60"/>
    <w:rsid w:val="005F5F56"/>
    <w:rsid w:val="005F7DF5"/>
    <w:rsid w:val="006001D6"/>
    <w:rsid w:val="00601791"/>
    <w:rsid w:val="006045AC"/>
    <w:rsid w:val="00604A1A"/>
    <w:rsid w:val="00605CC4"/>
    <w:rsid w:val="006071D7"/>
    <w:rsid w:val="0060793F"/>
    <w:rsid w:val="00610257"/>
    <w:rsid w:val="0061091F"/>
    <w:rsid w:val="0061225E"/>
    <w:rsid w:val="00616F1E"/>
    <w:rsid w:val="00617541"/>
    <w:rsid w:val="00617607"/>
    <w:rsid w:val="00620081"/>
    <w:rsid w:val="006200DD"/>
    <w:rsid w:val="006215AA"/>
    <w:rsid w:val="00622900"/>
    <w:rsid w:val="00625968"/>
    <w:rsid w:val="00626A1D"/>
    <w:rsid w:val="00626A5E"/>
    <w:rsid w:val="006303E7"/>
    <w:rsid w:val="0063051C"/>
    <w:rsid w:val="006322EF"/>
    <w:rsid w:val="0063419B"/>
    <w:rsid w:val="00636FFD"/>
    <w:rsid w:val="006414CE"/>
    <w:rsid w:val="006420FD"/>
    <w:rsid w:val="00643D70"/>
    <w:rsid w:val="0064739B"/>
    <w:rsid w:val="0065187B"/>
    <w:rsid w:val="006534E3"/>
    <w:rsid w:val="00655247"/>
    <w:rsid w:val="00655282"/>
    <w:rsid w:val="006552F3"/>
    <w:rsid w:val="00655552"/>
    <w:rsid w:val="006562C4"/>
    <w:rsid w:val="00656C33"/>
    <w:rsid w:val="00656CBF"/>
    <w:rsid w:val="00657DC2"/>
    <w:rsid w:val="00661ACA"/>
    <w:rsid w:val="00662789"/>
    <w:rsid w:val="00662A8D"/>
    <w:rsid w:val="006631E6"/>
    <w:rsid w:val="00663EEA"/>
    <w:rsid w:val="006641F6"/>
    <w:rsid w:val="006650F2"/>
    <w:rsid w:val="0066566D"/>
    <w:rsid w:val="00665CA6"/>
    <w:rsid w:val="00665E77"/>
    <w:rsid w:val="006723B4"/>
    <w:rsid w:val="006739EA"/>
    <w:rsid w:val="00677AE5"/>
    <w:rsid w:val="00680EDA"/>
    <w:rsid w:val="0068108E"/>
    <w:rsid w:val="00681423"/>
    <w:rsid w:val="00682309"/>
    <w:rsid w:val="0068381A"/>
    <w:rsid w:val="00685E91"/>
    <w:rsid w:val="006871F7"/>
    <w:rsid w:val="00690D4F"/>
    <w:rsid w:val="00693B97"/>
    <w:rsid w:val="00693D7A"/>
    <w:rsid w:val="0069574A"/>
    <w:rsid w:val="00696721"/>
    <w:rsid w:val="006973E0"/>
    <w:rsid w:val="006A05DE"/>
    <w:rsid w:val="006A10E6"/>
    <w:rsid w:val="006A1A6C"/>
    <w:rsid w:val="006A23F2"/>
    <w:rsid w:val="006A3042"/>
    <w:rsid w:val="006A30DD"/>
    <w:rsid w:val="006A6CD7"/>
    <w:rsid w:val="006A7DF7"/>
    <w:rsid w:val="006B06BC"/>
    <w:rsid w:val="006B0882"/>
    <w:rsid w:val="006B18EC"/>
    <w:rsid w:val="006C0D89"/>
    <w:rsid w:val="006C162F"/>
    <w:rsid w:val="006C40F4"/>
    <w:rsid w:val="006C5A33"/>
    <w:rsid w:val="006C614E"/>
    <w:rsid w:val="006C701E"/>
    <w:rsid w:val="006C7D52"/>
    <w:rsid w:val="006D4913"/>
    <w:rsid w:val="006D4EC5"/>
    <w:rsid w:val="006D6614"/>
    <w:rsid w:val="006D698C"/>
    <w:rsid w:val="006E01BE"/>
    <w:rsid w:val="006E239E"/>
    <w:rsid w:val="006E41B1"/>
    <w:rsid w:val="006E659C"/>
    <w:rsid w:val="006F1FC6"/>
    <w:rsid w:val="006F2259"/>
    <w:rsid w:val="006F40F4"/>
    <w:rsid w:val="006F410E"/>
    <w:rsid w:val="006F4AC5"/>
    <w:rsid w:val="006F4B45"/>
    <w:rsid w:val="006F4C90"/>
    <w:rsid w:val="006F5447"/>
    <w:rsid w:val="006F65EB"/>
    <w:rsid w:val="00700075"/>
    <w:rsid w:val="0070056D"/>
    <w:rsid w:val="0070103E"/>
    <w:rsid w:val="007010DF"/>
    <w:rsid w:val="00701119"/>
    <w:rsid w:val="0070196F"/>
    <w:rsid w:val="00703D0C"/>
    <w:rsid w:val="007056FB"/>
    <w:rsid w:val="007065D8"/>
    <w:rsid w:val="00706AFD"/>
    <w:rsid w:val="00706FFF"/>
    <w:rsid w:val="007079FF"/>
    <w:rsid w:val="00710E6B"/>
    <w:rsid w:val="007128F8"/>
    <w:rsid w:val="00714163"/>
    <w:rsid w:val="00714700"/>
    <w:rsid w:val="00714F68"/>
    <w:rsid w:val="007160D2"/>
    <w:rsid w:val="00716346"/>
    <w:rsid w:val="00716350"/>
    <w:rsid w:val="00717EB9"/>
    <w:rsid w:val="0072021F"/>
    <w:rsid w:val="00722796"/>
    <w:rsid w:val="00722A4B"/>
    <w:rsid w:val="007232F7"/>
    <w:rsid w:val="00724558"/>
    <w:rsid w:val="00724C66"/>
    <w:rsid w:val="0072563C"/>
    <w:rsid w:val="0072590E"/>
    <w:rsid w:val="00725D63"/>
    <w:rsid w:val="00730087"/>
    <w:rsid w:val="00730142"/>
    <w:rsid w:val="00730807"/>
    <w:rsid w:val="00731252"/>
    <w:rsid w:val="00734706"/>
    <w:rsid w:val="00734935"/>
    <w:rsid w:val="00734A62"/>
    <w:rsid w:val="00734C85"/>
    <w:rsid w:val="0073542A"/>
    <w:rsid w:val="00735EEF"/>
    <w:rsid w:val="007362F0"/>
    <w:rsid w:val="007404A2"/>
    <w:rsid w:val="00740878"/>
    <w:rsid w:val="00742098"/>
    <w:rsid w:val="0074268E"/>
    <w:rsid w:val="007428AF"/>
    <w:rsid w:val="00743ED3"/>
    <w:rsid w:val="00744740"/>
    <w:rsid w:val="007467AB"/>
    <w:rsid w:val="00747F22"/>
    <w:rsid w:val="00750D34"/>
    <w:rsid w:val="00750D8D"/>
    <w:rsid w:val="007511B9"/>
    <w:rsid w:val="00752B16"/>
    <w:rsid w:val="007555E9"/>
    <w:rsid w:val="00755B9C"/>
    <w:rsid w:val="00756B39"/>
    <w:rsid w:val="00760859"/>
    <w:rsid w:val="00760D42"/>
    <w:rsid w:val="007615ED"/>
    <w:rsid w:val="00763CFC"/>
    <w:rsid w:val="00763E29"/>
    <w:rsid w:val="00764664"/>
    <w:rsid w:val="0076667C"/>
    <w:rsid w:val="00766877"/>
    <w:rsid w:val="00766A9D"/>
    <w:rsid w:val="00767C86"/>
    <w:rsid w:val="007704B9"/>
    <w:rsid w:val="00771A48"/>
    <w:rsid w:val="00772470"/>
    <w:rsid w:val="0077331E"/>
    <w:rsid w:val="0077472C"/>
    <w:rsid w:val="00774DD5"/>
    <w:rsid w:val="00775876"/>
    <w:rsid w:val="0077692A"/>
    <w:rsid w:val="00776947"/>
    <w:rsid w:val="00777997"/>
    <w:rsid w:val="0078038D"/>
    <w:rsid w:val="0078383C"/>
    <w:rsid w:val="00783A9A"/>
    <w:rsid w:val="007852E6"/>
    <w:rsid w:val="00785C94"/>
    <w:rsid w:val="00786675"/>
    <w:rsid w:val="00786845"/>
    <w:rsid w:val="0078709B"/>
    <w:rsid w:val="00791790"/>
    <w:rsid w:val="00792A74"/>
    <w:rsid w:val="00794777"/>
    <w:rsid w:val="007955C9"/>
    <w:rsid w:val="00797141"/>
    <w:rsid w:val="00797464"/>
    <w:rsid w:val="00797474"/>
    <w:rsid w:val="007975F7"/>
    <w:rsid w:val="007A12A2"/>
    <w:rsid w:val="007A1A60"/>
    <w:rsid w:val="007A2DB8"/>
    <w:rsid w:val="007A32DD"/>
    <w:rsid w:val="007A3B40"/>
    <w:rsid w:val="007A4F57"/>
    <w:rsid w:val="007A505C"/>
    <w:rsid w:val="007B0712"/>
    <w:rsid w:val="007B3923"/>
    <w:rsid w:val="007B3D48"/>
    <w:rsid w:val="007B6208"/>
    <w:rsid w:val="007B7ED1"/>
    <w:rsid w:val="007C1823"/>
    <w:rsid w:val="007C3F52"/>
    <w:rsid w:val="007C7083"/>
    <w:rsid w:val="007C7614"/>
    <w:rsid w:val="007C7E39"/>
    <w:rsid w:val="007D132B"/>
    <w:rsid w:val="007D15CD"/>
    <w:rsid w:val="007D1B34"/>
    <w:rsid w:val="007D4370"/>
    <w:rsid w:val="007D4ED7"/>
    <w:rsid w:val="007D5416"/>
    <w:rsid w:val="007D6BFC"/>
    <w:rsid w:val="007D7863"/>
    <w:rsid w:val="007E2D95"/>
    <w:rsid w:val="007E312E"/>
    <w:rsid w:val="007E6289"/>
    <w:rsid w:val="007E656D"/>
    <w:rsid w:val="007E6BA7"/>
    <w:rsid w:val="007E732B"/>
    <w:rsid w:val="007E7A07"/>
    <w:rsid w:val="007F0254"/>
    <w:rsid w:val="007F4D4E"/>
    <w:rsid w:val="007F58F3"/>
    <w:rsid w:val="007F5C94"/>
    <w:rsid w:val="007F68FF"/>
    <w:rsid w:val="00800802"/>
    <w:rsid w:val="00800D0F"/>
    <w:rsid w:val="00802A24"/>
    <w:rsid w:val="00803546"/>
    <w:rsid w:val="0080367E"/>
    <w:rsid w:val="0080498C"/>
    <w:rsid w:val="00805EA3"/>
    <w:rsid w:val="00805FD7"/>
    <w:rsid w:val="00807C7C"/>
    <w:rsid w:val="00810A57"/>
    <w:rsid w:val="00812B9B"/>
    <w:rsid w:val="00812C63"/>
    <w:rsid w:val="00813362"/>
    <w:rsid w:val="008134F9"/>
    <w:rsid w:val="00813A21"/>
    <w:rsid w:val="00816F10"/>
    <w:rsid w:val="00817C11"/>
    <w:rsid w:val="00820D31"/>
    <w:rsid w:val="0082292D"/>
    <w:rsid w:val="00822F9F"/>
    <w:rsid w:val="00823607"/>
    <w:rsid w:val="0082373E"/>
    <w:rsid w:val="008252E4"/>
    <w:rsid w:val="008263D2"/>
    <w:rsid w:val="0082756C"/>
    <w:rsid w:val="0083128D"/>
    <w:rsid w:val="008312AB"/>
    <w:rsid w:val="00833F36"/>
    <w:rsid w:val="00834EDE"/>
    <w:rsid w:val="0083535F"/>
    <w:rsid w:val="00837DCA"/>
    <w:rsid w:val="008417DD"/>
    <w:rsid w:val="00841CAC"/>
    <w:rsid w:val="00842FC1"/>
    <w:rsid w:val="0084308A"/>
    <w:rsid w:val="008446C1"/>
    <w:rsid w:val="00845594"/>
    <w:rsid w:val="00845C92"/>
    <w:rsid w:val="00846137"/>
    <w:rsid w:val="00850CD1"/>
    <w:rsid w:val="008517A6"/>
    <w:rsid w:val="00851DCB"/>
    <w:rsid w:val="00852218"/>
    <w:rsid w:val="00852F8A"/>
    <w:rsid w:val="0085309D"/>
    <w:rsid w:val="00853F75"/>
    <w:rsid w:val="0085469F"/>
    <w:rsid w:val="008560AD"/>
    <w:rsid w:val="00857208"/>
    <w:rsid w:val="00857829"/>
    <w:rsid w:val="008579DF"/>
    <w:rsid w:val="00860EFB"/>
    <w:rsid w:val="00865BAD"/>
    <w:rsid w:val="008708F7"/>
    <w:rsid w:val="00871609"/>
    <w:rsid w:val="00873E85"/>
    <w:rsid w:val="00874707"/>
    <w:rsid w:val="008747BF"/>
    <w:rsid w:val="0087493F"/>
    <w:rsid w:val="008749E9"/>
    <w:rsid w:val="008761FA"/>
    <w:rsid w:val="008763F3"/>
    <w:rsid w:val="00877409"/>
    <w:rsid w:val="008806CC"/>
    <w:rsid w:val="00883696"/>
    <w:rsid w:val="00885640"/>
    <w:rsid w:val="008857CA"/>
    <w:rsid w:val="00886586"/>
    <w:rsid w:val="008877E0"/>
    <w:rsid w:val="00887D12"/>
    <w:rsid w:val="00890353"/>
    <w:rsid w:val="008904D8"/>
    <w:rsid w:val="0089068D"/>
    <w:rsid w:val="0089483D"/>
    <w:rsid w:val="00894B7D"/>
    <w:rsid w:val="00894D6D"/>
    <w:rsid w:val="008952D2"/>
    <w:rsid w:val="0089603E"/>
    <w:rsid w:val="008969D4"/>
    <w:rsid w:val="0089724E"/>
    <w:rsid w:val="00897960"/>
    <w:rsid w:val="008A04BF"/>
    <w:rsid w:val="008A0F1C"/>
    <w:rsid w:val="008A18E4"/>
    <w:rsid w:val="008A3C94"/>
    <w:rsid w:val="008A4D2F"/>
    <w:rsid w:val="008A7D5D"/>
    <w:rsid w:val="008B2A09"/>
    <w:rsid w:val="008B3A75"/>
    <w:rsid w:val="008B4D33"/>
    <w:rsid w:val="008B6279"/>
    <w:rsid w:val="008B679A"/>
    <w:rsid w:val="008B6CF6"/>
    <w:rsid w:val="008C003B"/>
    <w:rsid w:val="008C038A"/>
    <w:rsid w:val="008C0DBD"/>
    <w:rsid w:val="008C0E2D"/>
    <w:rsid w:val="008C3AB6"/>
    <w:rsid w:val="008C3F01"/>
    <w:rsid w:val="008C4A25"/>
    <w:rsid w:val="008C79A7"/>
    <w:rsid w:val="008D01CC"/>
    <w:rsid w:val="008D1757"/>
    <w:rsid w:val="008D2184"/>
    <w:rsid w:val="008D2220"/>
    <w:rsid w:val="008D3D18"/>
    <w:rsid w:val="008D57EF"/>
    <w:rsid w:val="008E1928"/>
    <w:rsid w:val="008E3309"/>
    <w:rsid w:val="008E3F0B"/>
    <w:rsid w:val="008E550B"/>
    <w:rsid w:val="008E578E"/>
    <w:rsid w:val="008E6B17"/>
    <w:rsid w:val="008E7161"/>
    <w:rsid w:val="008E7708"/>
    <w:rsid w:val="008F194B"/>
    <w:rsid w:val="008F2CB2"/>
    <w:rsid w:val="008F40E3"/>
    <w:rsid w:val="008F5970"/>
    <w:rsid w:val="008F5DB5"/>
    <w:rsid w:val="008F7728"/>
    <w:rsid w:val="009005D3"/>
    <w:rsid w:val="0090087A"/>
    <w:rsid w:val="00902EB0"/>
    <w:rsid w:val="0090485E"/>
    <w:rsid w:val="009065E3"/>
    <w:rsid w:val="009066B9"/>
    <w:rsid w:val="00906A8B"/>
    <w:rsid w:val="00910F4D"/>
    <w:rsid w:val="00911DC0"/>
    <w:rsid w:val="0091221A"/>
    <w:rsid w:val="009133BE"/>
    <w:rsid w:val="00915274"/>
    <w:rsid w:val="009152F8"/>
    <w:rsid w:val="009166E7"/>
    <w:rsid w:val="009168D9"/>
    <w:rsid w:val="00916BA8"/>
    <w:rsid w:val="00916BF1"/>
    <w:rsid w:val="0091742E"/>
    <w:rsid w:val="009205BE"/>
    <w:rsid w:val="0092453C"/>
    <w:rsid w:val="00924DE9"/>
    <w:rsid w:val="00925E26"/>
    <w:rsid w:val="009260AD"/>
    <w:rsid w:val="00926984"/>
    <w:rsid w:val="009323F3"/>
    <w:rsid w:val="00932424"/>
    <w:rsid w:val="00932C0F"/>
    <w:rsid w:val="00933670"/>
    <w:rsid w:val="00934090"/>
    <w:rsid w:val="00934534"/>
    <w:rsid w:val="0093556E"/>
    <w:rsid w:val="00935A8E"/>
    <w:rsid w:val="0093604B"/>
    <w:rsid w:val="00936422"/>
    <w:rsid w:val="00936FD2"/>
    <w:rsid w:val="009404AF"/>
    <w:rsid w:val="00940E45"/>
    <w:rsid w:val="00942434"/>
    <w:rsid w:val="0094387B"/>
    <w:rsid w:val="00945137"/>
    <w:rsid w:val="00946014"/>
    <w:rsid w:val="009462F3"/>
    <w:rsid w:val="00947626"/>
    <w:rsid w:val="00947EBE"/>
    <w:rsid w:val="009500EF"/>
    <w:rsid w:val="009518C7"/>
    <w:rsid w:val="00951C4F"/>
    <w:rsid w:val="00952F1B"/>
    <w:rsid w:val="009537DF"/>
    <w:rsid w:val="009558C0"/>
    <w:rsid w:val="00955E57"/>
    <w:rsid w:val="00956422"/>
    <w:rsid w:val="009610A4"/>
    <w:rsid w:val="00961B97"/>
    <w:rsid w:val="00961E8C"/>
    <w:rsid w:val="009629FD"/>
    <w:rsid w:val="00963FF5"/>
    <w:rsid w:val="00964803"/>
    <w:rsid w:val="00965AC0"/>
    <w:rsid w:val="00966A82"/>
    <w:rsid w:val="009670CA"/>
    <w:rsid w:val="00967335"/>
    <w:rsid w:val="00971C2C"/>
    <w:rsid w:val="00974A25"/>
    <w:rsid w:val="009773DA"/>
    <w:rsid w:val="00980CC9"/>
    <w:rsid w:val="00981353"/>
    <w:rsid w:val="00981A4E"/>
    <w:rsid w:val="00982A0F"/>
    <w:rsid w:val="00982EB2"/>
    <w:rsid w:val="00982F38"/>
    <w:rsid w:val="00983422"/>
    <w:rsid w:val="0098342B"/>
    <w:rsid w:val="0098346C"/>
    <w:rsid w:val="00984657"/>
    <w:rsid w:val="00985794"/>
    <w:rsid w:val="00987192"/>
    <w:rsid w:val="009877A1"/>
    <w:rsid w:val="009879ED"/>
    <w:rsid w:val="00990C92"/>
    <w:rsid w:val="00993320"/>
    <w:rsid w:val="00993D86"/>
    <w:rsid w:val="00993DAA"/>
    <w:rsid w:val="00995517"/>
    <w:rsid w:val="009A176F"/>
    <w:rsid w:val="009A55F5"/>
    <w:rsid w:val="009A5612"/>
    <w:rsid w:val="009A5ED2"/>
    <w:rsid w:val="009A69F8"/>
    <w:rsid w:val="009A6D41"/>
    <w:rsid w:val="009A71B6"/>
    <w:rsid w:val="009A7F98"/>
    <w:rsid w:val="009B0E1D"/>
    <w:rsid w:val="009B15B2"/>
    <w:rsid w:val="009B170E"/>
    <w:rsid w:val="009B2731"/>
    <w:rsid w:val="009B4247"/>
    <w:rsid w:val="009B5661"/>
    <w:rsid w:val="009B6927"/>
    <w:rsid w:val="009B71AD"/>
    <w:rsid w:val="009C05DC"/>
    <w:rsid w:val="009C0737"/>
    <w:rsid w:val="009C088B"/>
    <w:rsid w:val="009C0BE4"/>
    <w:rsid w:val="009C0D9E"/>
    <w:rsid w:val="009C1F6C"/>
    <w:rsid w:val="009C45EC"/>
    <w:rsid w:val="009C6121"/>
    <w:rsid w:val="009C63FB"/>
    <w:rsid w:val="009C69B5"/>
    <w:rsid w:val="009C6DF7"/>
    <w:rsid w:val="009D0BF4"/>
    <w:rsid w:val="009D0D21"/>
    <w:rsid w:val="009D120E"/>
    <w:rsid w:val="009D1230"/>
    <w:rsid w:val="009D1A4F"/>
    <w:rsid w:val="009D1C7D"/>
    <w:rsid w:val="009D35F5"/>
    <w:rsid w:val="009D479F"/>
    <w:rsid w:val="009D4990"/>
    <w:rsid w:val="009D5481"/>
    <w:rsid w:val="009D5890"/>
    <w:rsid w:val="009D6EFB"/>
    <w:rsid w:val="009D7944"/>
    <w:rsid w:val="009D7A49"/>
    <w:rsid w:val="009E03DD"/>
    <w:rsid w:val="009E08C8"/>
    <w:rsid w:val="009E091A"/>
    <w:rsid w:val="009E198B"/>
    <w:rsid w:val="009E1D1A"/>
    <w:rsid w:val="009E34FF"/>
    <w:rsid w:val="009E4C88"/>
    <w:rsid w:val="009E5030"/>
    <w:rsid w:val="009E7B27"/>
    <w:rsid w:val="009F08B9"/>
    <w:rsid w:val="009F0DBE"/>
    <w:rsid w:val="009F13F1"/>
    <w:rsid w:val="009F2209"/>
    <w:rsid w:val="009F26A8"/>
    <w:rsid w:val="009F2C31"/>
    <w:rsid w:val="009F2E44"/>
    <w:rsid w:val="009F36FC"/>
    <w:rsid w:val="009F3E03"/>
    <w:rsid w:val="009F4C0F"/>
    <w:rsid w:val="009F4D9F"/>
    <w:rsid w:val="00A00E94"/>
    <w:rsid w:val="00A027C1"/>
    <w:rsid w:val="00A027D5"/>
    <w:rsid w:val="00A0420A"/>
    <w:rsid w:val="00A04444"/>
    <w:rsid w:val="00A04DC9"/>
    <w:rsid w:val="00A06E15"/>
    <w:rsid w:val="00A073F1"/>
    <w:rsid w:val="00A07FF6"/>
    <w:rsid w:val="00A10C67"/>
    <w:rsid w:val="00A119BD"/>
    <w:rsid w:val="00A12016"/>
    <w:rsid w:val="00A12B05"/>
    <w:rsid w:val="00A12B21"/>
    <w:rsid w:val="00A15FE8"/>
    <w:rsid w:val="00A161A0"/>
    <w:rsid w:val="00A16984"/>
    <w:rsid w:val="00A208E4"/>
    <w:rsid w:val="00A22D12"/>
    <w:rsid w:val="00A23A55"/>
    <w:rsid w:val="00A2403A"/>
    <w:rsid w:val="00A24622"/>
    <w:rsid w:val="00A24FBD"/>
    <w:rsid w:val="00A250F2"/>
    <w:rsid w:val="00A27E30"/>
    <w:rsid w:val="00A32C24"/>
    <w:rsid w:val="00A352CB"/>
    <w:rsid w:val="00A364AA"/>
    <w:rsid w:val="00A36637"/>
    <w:rsid w:val="00A37836"/>
    <w:rsid w:val="00A379C7"/>
    <w:rsid w:val="00A37AC1"/>
    <w:rsid w:val="00A37BB1"/>
    <w:rsid w:val="00A37D2A"/>
    <w:rsid w:val="00A40388"/>
    <w:rsid w:val="00A41BF2"/>
    <w:rsid w:val="00A43E32"/>
    <w:rsid w:val="00A44BE0"/>
    <w:rsid w:val="00A44E99"/>
    <w:rsid w:val="00A4528C"/>
    <w:rsid w:val="00A46007"/>
    <w:rsid w:val="00A47DC8"/>
    <w:rsid w:val="00A508AF"/>
    <w:rsid w:val="00A52958"/>
    <w:rsid w:val="00A52CAA"/>
    <w:rsid w:val="00A5386A"/>
    <w:rsid w:val="00A5586C"/>
    <w:rsid w:val="00A56341"/>
    <w:rsid w:val="00A57255"/>
    <w:rsid w:val="00A607EE"/>
    <w:rsid w:val="00A60FD7"/>
    <w:rsid w:val="00A63426"/>
    <w:rsid w:val="00A634A9"/>
    <w:rsid w:val="00A636AF"/>
    <w:rsid w:val="00A6488F"/>
    <w:rsid w:val="00A6721C"/>
    <w:rsid w:val="00A70CEB"/>
    <w:rsid w:val="00A70DA0"/>
    <w:rsid w:val="00A710D4"/>
    <w:rsid w:val="00A71DDE"/>
    <w:rsid w:val="00A7272E"/>
    <w:rsid w:val="00A73111"/>
    <w:rsid w:val="00A734B0"/>
    <w:rsid w:val="00A73668"/>
    <w:rsid w:val="00A73C63"/>
    <w:rsid w:val="00A7464F"/>
    <w:rsid w:val="00A7499C"/>
    <w:rsid w:val="00A802C7"/>
    <w:rsid w:val="00A803D2"/>
    <w:rsid w:val="00A8160E"/>
    <w:rsid w:val="00A8382E"/>
    <w:rsid w:val="00A83DD3"/>
    <w:rsid w:val="00A84A6B"/>
    <w:rsid w:val="00A84AE5"/>
    <w:rsid w:val="00A90D71"/>
    <w:rsid w:val="00A90E6C"/>
    <w:rsid w:val="00A91C41"/>
    <w:rsid w:val="00A9222C"/>
    <w:rsid w:val="00A94352"/>
    <w:rsid w:val="00A97D09"/>
    <w:rsid w:val="00AA2287"/>
    <w:rsid w:val="00AA3732"/>
    <w:rsid w:val="00AA3E72"/>
    <w:rsid w:val="00AA7422"/>
    <w:rsid w:val="00AA7FCE"/>
    <w:rsid w:val="00AB0E9A"/>
    <w:rsid w:val="00AB1327"/>
    <w:rsid w:val="00AB2208"/>
    <w:rsid w:val="00AB292B"/>
    <w:rsid w:val="00AB3436"/>
    <w:rsid w:val="00AB47DC"/>
    <w:rsid w:val="00AB4AEA"/>
    <w:rsid w:val="00AB50A5"/>
    <w:rsid w:val="00AB5A03"/>
    <w:rsid w:val="00AB5CE3"/>
    <w:rsid w:val="00AB66B2"/>
    <w:rsid w:val="00AB7884"/>
    <w:rsid w:val="00AC0F5B"/>
    <w:rsid w:val="00AC2788"/>
    <w:rsid w:val="00AC2D29"/>
    <w:rsid w:val="00AC3356"/>
    <w:rsid w:val="00AC3841"/>
    <w:rsid w:val="00AC3FC7"/>
    <w:rsid w:val="00AC4085"/>
    <w:rsid w:val="00AC46EE"/>
    <w:rsid w:val="00AC59A7"/>
    <w:rsid w:val="00AD1FF6"/>
    <w:rsid w:val="00AD2C46"/>
    <w:rsid w:val="00AD36F5"/>
    <w:rsid w:val="00AD3D05"/>
    <w:rsid w:val="00AD7E55"/>
    <w:rsid w:val="00AE0806"/>
    <w:rsid w:val="00AE15E7"/>
    <w:rsid w:val="00AE3271"/>
    <w:rsid w:val="00AE3F33"/>
    <w:rsid w:val="00AE51ED"/>
    <w:rsid w:val="00AE68D7"/>
    <w:rsid w:val="00AE79FF"/>
    <w:rsid w:val="00AE7AFF"/>
    <w:rsid w:val="00AF0500"/>
    <w:rsid w:val="00AF20D9"/>
    <w:rsid w:val="00AF2471"/>
    <w:rsid w:val="00AF2E51"/>
    <w:rsid w:val="00AF2F98"/>
    <w:rsid w:val="00AF60A9"/>
    <w:rsid w:val="00AF798D"/>
    <w:rsid w:val="00B00B21"/>
    <w:rsid w:val="00B01691"/>
    <w:rsid w:val="00B02808"/>
    <w:rsid w:val="00B03474"/>
    <w:rsid w:val="00B034F9"/>
    <w:rsid w:val="00B03BB8"/>
    <w:rsid w:val="00B04725"/>
    <w:rsid w:val="00B051A3"/>
    <w:rsid w:val="00B066A2"/>
    <w:rsid w:val="00B10541"/>
    <w:rsid w:val="00B1197E"/>
    <w:rsid w:val="00B12AE6"/>
    <w:rsid w:val="00B16290"/>
    <w:rsid w:val="00B20DE0"/>
    <w:rsid w:val="00B22D16"/>
    <w:rsid w:val="00B2322F"/>
    <w:rsid w:val="00B2536C"/>
    <w:rsid w:val="00B25965"/>
    <w:rsid w:val="00B25CD5"/>
    <w:rsid w:val="00B26A28"/>
    <w:rsid w:val="00B30085"/>
    <w:rsid w:val="00B30350"/>
    <w:rsid w:val="00B30F6A"/>
    <w:rsid w:val="00B31BD5"/>
    <w:rsid w:val="00B34A02"/>
    <w:rsid w:val="00B35EDC"/>
    <w:rsid w:val="00B3722B"/>
    <w:rsid w:val="00B408A5"/>
    <w:rsid w:val="00B409F0"/>
    <w:rsid w:val="00B40FFF"/>
    <w:rsid w:val="00B418CA"/>
    <w:rsid w:val="00B41A54"/>
    <w:rsid w:val="00B42634"/>
    <w:rsid w:val="00B42F75"/>
    <w:rsid w:val="00B47472"/>
    <w:rsid w:val="00B47B01"/>
    <w:rsid w:val="00B51459"/>
    <w:rsid w:val="00B53950"/>
    <w:rsid w:val="00B54163"/>
    <w:rsid w:val="00B56D57"/>
    <w:rsid w:val="00B60D0B"/>
    <w:rsid w:val="00B61C37"/>
    <w:rsid w:val="00B6200E"/>
    <w:rsid w:val="00B624A7"/>
    <w:rsid w:val="00B63AD5"/>
    <w:rsid w:val="00B63BAF"/>
    <w:rsid w:val="00B65878"/>
    <w:rsid w:val="00B66F7F"/>
    <w:rsid w:val="00B70B31"/>
    <w:rsid w:val="00B72600"/>
    <w:rsid w:val="00B749B5"/>
    <w:rsid w:val="00B751B7"/>
    <w:rsid w:val="00B756E0"/>
    <w:rsid w:val="00B75749"/>
    <w:rsid w:val="00B75DC8"/>
    <w:rsid w:val="00B7670F"/>
    <w:rsid w:val="00B775F4"/>
    <w:rsid w:val="00B8020F"/>
    <w:rsid w:val="00B8179E"/>
    <w:rsid w:val="00B81A18"/>
    <w:rsid w:val="00B81FB2"/>
    <w:rsid w:val="00B828B0"/>
    <w:rsid w:val="00B82C5A"/>
    <w:rsid w:val="00B8382B"/>
    <w:rsid w:val="00B85030"/>
    <w:rsid w:val="00B869EC"/>
    <w:rsid w:val="00B86A6D"/>
    <w:rsid w:val="00B86C31"/>
    <w:rsid w:val="00B921E3"/>
    <w:rsid w:val="00B92485"/>
    <w:rsid w:val="00B92E93"/>
    <w:rsid w:val="00B93985"/>
    <w:rsid w:val="00B94703"/>
    <w:rsid w:val="00B94822"/>
    <w:rsid w:val="00B959CB"/>
    <w:rsid w:val="00B96912"/>
    <w:rsid w:val="00BA1F67"/>
    <w:rsid w:val="00BA30AE"/>
    <w:rsid w:val="00BA3DCD"/>
    <w:rsid w:val="00BA5CCE"/>
    <w:rsid w:val="00BA5E44"/>
    <w:rsid w:val="00BA67B9"/>
    <w:rsid w:val="00BA6C81"/>
    <w:rsid w:val="00BA741D"/>
    <w:rsid w:val="00BB0068"/>
    <w:rsid w:val="00BB2304"/>
    <w:rsid w:val="00BB2673"/>
    <w:rsid w:val="00BB2ACF"/>
    <w:rsid w:val="00BB41A5"/>
    <w:rsid w:val="00BB42FE"/>
    <w:rsid w:val="00BB5057"/>
    <w:rsid w:val="00BB537B"/>
    <w:rsid w:val="00BB76EF"/>
    <w:rsid w:val="00BC293F"/>
    <w:rsid w:val="00BC4A09"/>
    <w:rsid w:val="00BC54AA"/>
    <w:rsid w:val="00BC68FE"/>
    <w:rsid w:val="00BC6D25"/>
    <w:rsid w:val="00BC7EE6"/>
    <w:rsid w:val="00BD04A0"/>
    <w:rsid w:val="00BD0502"/>
    <w:rsid w:val="00BD0A00"/>
    <w:rsid w:val="00BD16F5"/>
    <w:rsid w:val="00BD25C9"/>
    <w:rsid w:val="00BD3043"/>
    <w:rsid w:val="00BD313F"/>
    <w:rsid w:val="00BD6415"/>
    <w:rsid w:val="00BE182D"/>
    <w:rsid w:val="00BE1CA3"/>
    <w:rsid w:val="00BE2FC2"/>
    <w:rsid w:val="00BF04AF"/>
    <w:rsid w:val="00BF1F5E"/>
    <w:rsid w:val="00BF4272"/>
    <w:rsid w:val="00BF4F46"/>
    <w:rsid w:val="00BF513D"/>
    <w:rsid w:val="00C00C20"/>
    <w:rsid w:val="00C03C85"/>
    <w:rsid w:val="00C0412E"/>
    <w:rsid w:val="00C11035"/>
    <w:rsid w:val="00C1216E"/>
    <w:rsid w:val="00C12DAD"/>
    <w:rsid w:val="00C13308"/>
    <w:rsid w:val="00C13488"/>
    <w:rsid w:val="00C14912"/>
    <w:rsid w:val="00C14A42"/>
    <w:rsid w:val="00C14FB9"/>
    <w:rsid w:val="00C15569"/>
    <w:rsid w:val="00C16235"/>
    <w:rsid w:val="00C23037"/>
    <w:rsid w:val="00C24465"/>
    <w:rsid w:val="00C24B4E"/>
    <w:rsid w:val="00C30D65"/>
    <w:rsid w:val="00C3297A"/>
    <w:rsid w:val="00C32E67"/>
    <w:rsid w:val="00C32FC5"/>
    <w:rsid w:val="00C3384B"/>
    <w:rsid w:val="00C33C5D"/>
    <w:rsid w:val="00C3429E"/>
    <w:rsid w:val="00C343E4"/>
    <w:rsid w:val="00C34B52"/>
    <w:rsid w:val="00C365B4"/>
    <w:rsid w:val="00C374BE"/>
    <w:rsid w:val="00C4087C"/>
    <w:rsid w:val="00C41101"/>
    <w:rsid w:val="00C41567"/>
    <w:rsid w:val="00C41E31"/>
    <w:rsid w:val="00C42336"/>
    <w:rsid w:val="00C42356"/>
    <w:rsid w:val="00C42DFF"/>
    <w:rsid w:val="00C42F43"/>
    <w:rsid w:val="00C4348F"/>
    <w:rsid w:val="00C439EC"/>
    <w:rsid w:val="00C4471A"/>
    <w:rsid w:val="00C45009"/>
    <w:rsid w:val="00C45736"/>
    <w:rsid w:val="00C459C4"/>
    <w:rsid w:val="00C46DB2"/>
    <w:rsid w:val="00C50B9A"/>
    <w:rsid w:val="00C51EAA"/>
    <w:rsid w:val="00C51FD7"/>
    <w:rsid w:val="00C52091"/>
    <w:rsid w:val="00C5355E"/>
    <w:rsid w:val="00C5400C"/>
    <w:rsid w:val="00C56730"/>
    <w:rsid w:val="00C56C63"/>
    <w:rsid w:val="00C57432"/>
    <w:rsid w:val="00C60F2E"/>
    <w:rsid w:val="00C61501"/>
    <w:rsid w:val="00C62217"/>
    <w:rsid w:val="00C65253"/>
    <w:rsid w:val="00C71387"/>
    <w:rsid w:val="00C71738"/>
    <w:rsid w:val="00C735F6"/>
    <w:rsid w:val="00C75361"/>
    <w:rsid w:val="00C75D3A"/>
    <w:rsid w:val="00C7637B"/>
    <w:rsid w:val="00C765A0"/>
    <w:rsid w:val="00C76BB0"/>
    <w:rsid w:val="00C7755C"/>
    <w:rsid w:val="00C776B0"/>
    <w:rsid w:val="00C80AC4"/>
    <w:rsid w:val="00C8127C"/>
    <w:rsid w:val="00C81F28"/>
    <w:rsid w:val="00C82319"/>
    <w:rsid w:val="00C83100"/>
    <w:rsid w:val="00C8359D"/>
    <w:rsid w:val="00C83814"/>
    <w:rsid w:val="00C83E4A"/>
    <w:rsid w:val="00C84EBF"/>
    <w:rsid w:val="00C85451"/>
    <w:rsid w:val="00C86F1F"/>
    <w:rsid w:val="00C9261E"/>
    <w:rsid w:val="00C946B0"/>
    <w:rsid w:val="00C947A7"/>
    <w:rsid w:val="00C94BA8"/>
    <w:rsid w:val="00C96C8D"/>
    <w:rsid w:val="00CA160D"/>
    <w:rsid w:val="00CA1933"/>
    <w:rsid w:val="00CA1FB9"/>
    <w:rsid w:val="00CA22E3"/>
    <w:rsid w:val="00CA2D17"/>
    <w:rsid w:val="00CA4FA2"/>
    <w:rsid w:val="00CA5162"/>
    <w:rsid w:val="00CA7D32"/>
    <w:rsid w:val="00CB1AA0"/>
    <w:rsid w:val="00CB31A8"/>
    <w:rsid w:val="00CB3DA7"/>
    <w:rsid w:val="00CB4697"/>
    <w:rsid w:val="00CB6B8B"/>
    <w:rsid w:val="00CB6C66"/>
    <w:rsid w:val="00CB7FC9"/>
    <w:rsid w:val="00CC1E35"/>
    <w:rsid w:val="00CC291F"/>
    <w:rsid w:val="00CC30C3"/>
    <w:rsid w:val="00CC36DC"/>
    <w:rsid w:val="00CC5A5E"/>
    <w:rsid w:val="00CC5DBD"/>
    <w:rsid w:val="00CC6748"/>
    <w:rsid w:val="00CC6DAB"/>
    <w:rsid w:val="00CD0249"/>
    <w:rsid w:val="00CD10C5"/>
    <w:rsid w:val="00CD2E57"/>
    <w:rsid w:val="00CD3D85"/>
    <w:rsid w:val="00CD3E48"/>
    <w:rsid w:val="00CD5BEB"/>
    <w:rsid w:val="00CD5E0A"/>
    <w:rsid w:val="00CD6A30"/>
    <w:rsid w:val="00CD6E73"/>
    <w:rsid w:val="00CD74CE"/>
    <w:rsid w:val="00CD7A94"/>
    <w:rsid w:val="00CE0D4C"/>
    <w:rsid w:val="00CE1364"/>
    <w:rsid w:val="00CE1F61"/>
    <w:rsid w:val="00CE307A"/>
    <w:rsid w:val="00CE5609"/>
    <w:rsid w:val="00CE638A"/>
    <w:rsid w:val="00CE76F5"/>
    <w:rsid w:val="00CF5344"/>
    <w:rsid w:val="00CF5E97"/>
    <w:rsid w:val="00CF6E6C"/>
    <w:rsid w:val="00CF73F0"/>
    <w:rsid w:val="00D00F9A"/>
    <w:rsid w:val="00D011C2"/>
    <w:rsid w:val="00D01EF0"/>
    <w:rsid w:val="00D03EA6"/>
    <w:rsid w:val="00D04D23"/>
    <w:rsid w:val="00D0553F"/>
    <w:rsid w:val="00D057C5"/>
    <w:rsid w:val="00D05926"/>
    <w:rsid w:val="00D05D56"/>
    <w:rsid w:val="00D064A6"/>
    <w:rsid w:val="00D06B69"/>
    <w:rsid w:val="00D11BC0"/>
    <w:rsid w:val="00D120A0"/>
    <w:rsid w:val="00D1708B"/>
    <w:rsid w:val="00D2019F"/>
    <w:rsid w:val="00D21090"/>
    <w:rsid w:val="00D22440"/>
    <w:rsid w:val="00D2444C"/>
    <w:rsid w:val="00D24827"/>
    <w:rsid w:val="00D26ECF"/>
    <w:rsid w:val="00D27764"/>
    <w:rsid w:val="00D277E4"/>
    <w:rsid w:val="00D30620"/>
    <w:rsid w:val="00D30CFA"/>
    <w:rsid w:val="00D313A8"/>
    <w:rsid w:val="00D31B46"/>
    <w:rsid w:val="00D33670"/>
    <w:rsid w:val="00D34FE3"/>
    <w:rsid w:val="00D35722"/>
    <w:rsid w:val="00D409CE"/>
    <w:rsid w:val="00D41058"/>
    <w:rsid w:val="00D42EC6"/>
    <w:rsid w:val="00D435FC"/>
    <w:rsid w:val="00D43741"/>
    <w:rsid w:val="00D43A26"/>
    <w:rsid w:val="00D44DC4"/>
    <w:rsid w:val="00D46147"/>
    <w:rsid w:val="00D465CC"/>
    <w:rsid w:val="00D465EB"/>
    <w:rsid w:val="00D4696C"/>
    <w:rsid w:val="00D46EFF"/>
    <w:rsid w:val="00D50836"/>
    <w:rsid w:val="00D50B94"/>
    <w:rsid w:val="00D52CCE"/>
    <w:rsid w:val="00D53AD0"/>
    <w:rsid w:val="00D54B72"/>
    <w:rsid w:val="00D55096"/>
    <w:rsid w:val="00D553C9"/>
    <w:rsid w:val="00D556B4"/>
    <w:rsid w:val="00D5727F"/>
    <w:rsid w:val="00D60310"/>
    <w:rsid w:val="00D61A9B"/>
    <w:rsid w:val="00D62118"/>
    <w:rsid w:val="00D62BE2"/>
    <w:rsid w:val="00D641D1"/>
    <w:rsid w:val="00D64AD0"/>
    <w:rsid w:val="00D671F8"/>
    <w:rsid w:val="00D67461"/>
    <w:rsid w:val="00D71625"/>
    <w:rsid w:val="00D7165F"/>
    <w:rsid w:val="00D727C4"/>
    <w:rsid w:val="00D728E8"/>
    <w:rsid w:val="00D747E8"/>
    <w:rsid w:val="00D76765"/>
    <w:rsid w:val="00D7753E"/>
    <w:rsid w:val="00D8095E"/>
    <w:rsid w:val="00D8117A"/>
    <w:rsid w:val="00D81479"/>
    <w:rsid w:val="00D83D4B"/>
    <w:rsid w:val="00D84068"/>
    <w:rsid w:val="00D85502"/>
    <w:rsid w:val="00D85A9B"/>
    <w:rsid w:val="00D87BD2"/>
    <w:rsid w:val="00D87CEF"/>
    <w:rsid w:val="00D910A6"/>
    <w:rsid w:val="00D91201"/>
    <w:rsid w:val="00D93E8B"/>
    <w:rsid w:val="00D9787F"/>
    <w:rsid w:val="00D97C0D"/>
    <w:rsid w:val="00D97E07"/>
    <w:rsid w:val="00D97FBD"/>
    <w:rsid w:val="00DA1A64"/>
    <w:rsid w:val="00DA23DA"/>
    <w:rsid w:val="00DA32B3"/>
    <w:rsid w:val="00DA579A"/>
    <w:rsid w:val="00DA5F30"/>
    <w:rsid w:val="00DB2007"/>
    <w:rsid w:val="00DB263B"/>
    <w:rsid w:val="00DB276B"/>
    <w:rsid w:val="00DB2A16"/>
    <w:rsid w:val="00DB3EBF"/>
    <w:rsid w:val="00DB4FB5"/>
    <w:rsid w:val="00DB74A9"/>
    <w:rsid w:val="00DB7C7B"/>
    <w:rsid w:val="00DC02DB"/>
    <w:rsid w:val="00DC03D1"/>
    <w:rsid w:val="00DC0B93"/>
    <w:rsid w:val="00DC0BA9"/>
    <w:rsid w:val="00DC109A"/>
    <w:rsid w:val="00DC2113"/>
    <w:rsid w:val="00DC27EF"/>
    <w:rsid w:val="00DC2C40"/>
    <w:rsid w:val="00DC4095"/>
    <w:rsid w:val="00DC4AC2"/>
    <w:rsid w:val="00DC746E"/>
    <w:rsid w:val="00DD033E"/>
    <w:rsid w:val="00DD060C"/>
    <w:rsid w:val="00DD1099"/>
    <w:rsid w:val="00DD16F1"/>
    <w:rsid w:val="00DD34A9"/>
    <w:rsid w:val="00DD3B69"/>
    <w:rsid w:val="00DD526F"/>
    <w:rsid w:val="00DD56FF"/>
    <w:rsid w:val="00DD6A1E"/>
    <w:rsid w:val="00DD6D38"/>
    <w:rsid w:val="00DD6D4C"/>
    <w:rsid w:val="00DD6DB1"/>
    <w:rsid w:val="00DD7165"/>
    <w:rsid w:val="00DD7C6D"/>
    <w:rsid w:val="00DE143F"/>
    <w:rsid w:val="00DE1861"/>
    <w:rsid w:val="00DE2301"/>
    <w:rsid w:val="00DE3BE6"/>
    <w:rsid w:val="00DE4A14"/>
    <w:rsid w:val="00DE64F3"/>
    <w:rsid w:val="00DE7C4B"/>
    <w:rsid w:val="00DF033B"/>
    <w:rsid w:val="00DF13CB"/>
    <w:rsid w:val="00DF14A4"/>
    <w:rsid w:val="00DF361B"/>
    <w:rsid w:val="00DF53C5"/>
    <w:rsid w:val="00DF5BDC"/>
    <w:rsid w:val="00DF5C99"/>
    <w:rsid w:val="00DF7129"/>
    <w:rsid w:val="00DF7F9A"/>
    <w:rsid w:val="00E00B4B"/>
    <w:rsid w:val="00E00EE5"/>
    <w:rsid w:val="00E01216"/>
    <w:rsid w:val="00E01A5F"/>
    <w:rsid w:val="00E01FB2"/>
    <w:rsid w:val="00E03D7C"/>
    <w:rsid w:val="00E03F74"/>
    <w:rsid w:val="00E04F74"/>
    <w:rsid w:val="00E0567C"/>
    <w:rsid w:val="00E05B73"/>
    <w:rsid w:val="00E06475"/>
    <w:rsid w:val="00E07738"/>
    <w:rsid w:val="00E1205E"/>
    <w:rsid w:val="00E14F66"/>
    <w:rsid w:val="00E15B03"/>
    <w:rsid w:val="00E16377"/>
    <w:rsid w:val="00E16BD5"/>
    <w:rsid w:val="00E174E0"/>
    <w:rsid w:val="00E17EAE"/>
    <w:rsid w:val="00E17F88"/>
    <w:rsid w:val="00E200CC"/>
    <w:rsid w:val="00E20FA0"/>
    <w:rsid w:val="00E219FC"/>
    <w:rsid w:val="00E21DC8"/>
    <w:rsid w:val="00E2227F"/>
    <w:rsid w:val="00E23B04"/>
    <w:rsid w:val="00E23F97"/>
    <w:rsid w:val="00E25836"/>
    <w:rsid w:val="00E275CD"/>
    <w:rsid w:val="00E27B83"/>
    <w:rsid w:val="00E34F6F"/>
    <w:rsid w:val="00E35560"/>
    <w:rsid w:val="00E37A0F"/>
    <w:rsid w:val="00E4039A"/>
    <w:rsid w:val="00E40DD8"/>
    <w:rsid w:val="00E415D1"/>
    <w:rsid w:val="00E42B7D"/>
    <w:rsid w:val="00E42FF8"/>
    <w:rsid w:val="00E431BD"/>
    <w:rsid w:val="00E501A2"/>
    <w:rsid w:val="00E50A9A"/>
    <w:rsid w:val="00E54B76"/>
    <w:rsid w:val="00E60CD4"/>
    <w:rsid w:val="00E6176C"/>
    <w:rsid w:val="00E61EA7"/>
    <w:rsid w:val="00E624EA"/>
    <w:rsid w:val="00E6320B"/>
    <w:rsid w:val="00E63869"/>
    <w:rsid w:val="00E64291"/>
    <w:rsid w:val="00E64FCD"/>
    <w:rsid w:val="00E66A89"/>
    <w:rsid w:val="00E66BC2"/>
    <w:rsid w:val="00E70509"/>
    <w:rsid w:val="00E7058C"/>
    <w:rsid w:val="00E7158B"/>
    <w:rsid w:val="00E71E60"/>
    <w:rsid w:val="00E72D1F"/>
    <w:rsid w:val="00E72F37"/>
    <w:rsid w:val="00E73E9E"/>
    <w:rsid w:val="00E73FD3"/>
    <w:rsid w:val="00E74500"/>
    <w:rsid w:val="00E755D3"/>
    <w:rsid w:val="00E77817"/>
    <w:rsid w:val="00E800AB"/>
    <w:rsid w:val="00E802CC"/>
    <w:rsid w:val="00E8078C"/>
    <w:rsid w:val="00E826BD"/>
    <w:rsid w:val="00E8309D"/>
    <w:rsid w:val="00E83421"/>
    <w:rsid w:val="00E83DF5"/>
    <w:rsid w:val="00E8743C"/>
    <w:rsid w:val="00E87CF4"/>
    <w:rsid w:val="00E909C9"/>
    <w:rsid w:val="00E91799"/>
    <w:rsid w:val="00E92829"/>
    <w:rsid w:val="00E92CC8"/>
    <w:rsid w:val="00E92E34"/>
    <w:rsid w:val="00E95E65"/>
    <w:rsid w:val="00E963C7"/>
    <w:rsid w:val="00E972E0"/>
    <w:rsid w:val="00EA0D11"/>
    <w:rsid w:val="00EA1BC9"/>
    <w:rsid w:val="00EA2189"/>
    <w:rsid w:val="00EA2CB2"/>
    <w:rsid w:val="00EA2D61"/>
    <w:rsid w:val="00EA4E92"/>
    <w:rsid w:val="00EA5DDB"/>
    <w:rsid w:val="00EA77B6"/>
    <w:rsid w:val="00EA7849"/>
    <w:rsid w:val="00EB0386"/>
    <w:rsid w:val="00EB071F"/>
    <w:rsid w:val="00EB0A92"/>
    <w:rsid w:val="00EB1D3A"/>
    <w:rsid w:val="00EB4E2C"/>
    <w:rsid w:val="00EB6009"/>
    <w:rsid w:val="00EC07AA"/>
    <w:rsid w:val="00EC0D4F"/>
    <w:rsid w:val="00EC2235"/>
    <w:rsid w:val="00EC5F23"/>
    <w:rsid w:val="00EC700A"/>
    <w:rsid w:val="00ED0147"/>
    <w:rsid w:val="00ED06FD"/>
    <w:rsid w:val="00ED076C"/>
    <w:rsid w:val="00ED0C12"/>
    <w:rsid w:val="00ED1258"/>
    <w:rsid w:val="00ED1F51"/>
    <w:rsid w:val="00ED2510"/>
    <w:rsid w:val="00ED26BB"/>
    <w:rsid w:val="00ED2B23"/>
    <w:rsid w:val="00ED52BE"/>
    <w:rsid w:val="00ED5602"/>
    <w:rsid w:val="00EE0804"/>
    <w:rsid w:val="00EE0AF0"/>
    <w:rsid w:val="00EE0D85"/>
    <w:rsid w:val="00EE3566"/>
    <w:rsid w:val="00EE4EF8"/>
    <w:rsid w:val="00EE51F7"/>
    <w:rsid w:val="00EE7910"/>
    <w:rsid w:val="00EE7FA1"/>
    <w:rsid w:val="00EF09BD"/>
    <w:rsid w:val="00EF1A64"/>
    <w:rsid w:val="00EF2EDC"/>
    <w:rsid w:val="00EF512C"/>
    <w:rsid w:val="00EF58D1"/>
    <w:rsid w:val="00EF6B6C"/>
    <w:rsid w:val="00F0014B"/>
    <w:rsid w:val="00F0024B"/>
    <w:rsid w:val="00F01929"/>
    <w:rsid w:val="00F02884"/>
    <w:rsid w:val="00F028E8"/>
    <w:rsid w:val="00F02FB3"/>
    <w:rsid w:val="00F030FC"/>
    <w:rsid w:val="00F040D8"/>
    <w:rsid w:val="00F043D1"/>
    <w:rsid w:val="00F045F8"/>
    <w:rsid w:val="00F04C77"/>
    <w:rsid w:val="00F05E79"/>
    <w:rsid w:val="00F07168"/>
    <w:rsid w:val="00F109DB"/>
    <w:rsid w:val="00F10B28"/>
    <w:rsid w:val="00F125F6"/>
    <w:rsid w:val="00F127AB"/>
    <w:rsid w:val="00F127FD"/>
    <w:rsid w:val="00F13BC7"/>
    <w:rsid w:val="00F14123"/>
    <w:rsid w:val="00F15907"/>
    <w:rsid w:val="00F20780"/>
    <w:rsid w:val="00F20A38"/>
    <w:rsid w:val="00F220AB"/>
    <w:rsid w:val="00F2472D"/>
    <w:rsid w:val="00F24FDE"/>
    <w:rsid w:val="00F253AB"/>
    <w:rsid w:val="00F25904"/>
    <w:rsid w:val="00F276C4"/>
    <w:rsid w:val="00F30DA8"/>
    <w:rsid w:val="00F33602"/>
    <w:rsid w:val="00F36A52"/>
    <w:rsid w:val="00F37D1A"/>
    <w:rsid w:val="00F41218"/>
    <w:rsid w:val="00F41708"/>
    <w:rsid w:val="00F41732"/>
    <w:rsid w:val="00F421F4"/>
    <w:rsid w:val="00F4299E"/>
    <w:rsid w:val="00F44245"/>
    <w:rsid w:val="00F45309"/>
    <w:rsid w:val="00F45778"/>
    <w:rsid w:val="00F47497"/>
    <w:rsid w:val="00F47904"/>
    <w:rsid w:val="00F47B8C"/>
    <w:rsid w:val="00F51DDB"/>
    <w:rsid w:val="00F53312"/>
    <w:rsid w:val="00F551E5"/>
    <w:rsid w:val="00F569DC"/>
    <w:rsid w:val="00F57143"/>
    <w:rsid w:val="00F57B07"/>
    <w:rsid w:val="00F60077"/>
    <w:rsid w:val="00F60890"/>
    <w:rsid w:val="00F60A2D"/>
    <w:rsid w:val="00F616F8"/>
    <w:rsid w:val="00F630F4"/>
    <w:rsid w:val="00F63233"/>
    <w:rsid w:val="00F63527"/>
    <w:rsid w:val="00F643E0"/>
    <w:rsid w:val="00F64BC8"/>
    <w:rsid w:val="00F64C53"/>
    <w:rsid w:val="00F64E0F"/>
    <w:rsid w:val="00F65046"/>
    <w:rsid w:val="00F66999"/>
    <w:rsid w:val="00F66A1E"/>
    <w:rsid w:val="00F66AAE"/>
    <w:rsid w:val="00F672B6"/>
    <w:rsid w:val="00F7073C"/>
    <w:rsid w:val="00F71C7F"/>
    <w:rsid w:val="00F72056"/>
    <w:rsid w:val="00F72146"/>
    <w:rsid w:val="00F72278"/>
    <w:rsid w:val="00F7285D"/>
    <w:rsid w:val="00F72D3E"/>
    <w:rsid w:val="00F73AB2"/>
    <w:rsid w:val="00F73B3D"/>
    <w:rsid w:val="00F7710B"/>
    <w:rsid w:val="00F77BF0"/>
    <w:rsid w:val="00F80211"/>
    <w:rsid w:val="00F8227F"/>
    <w:rsid w:val="00F836A2"/>
    <w:rsid w:val="00F83723"/>
    <w:rsid w:val="00F83733"/>
    <w:rsid w:val="00F84D0E"/>
    <w:rsid w:val="00F85537"/>
    <w:rsid w:val="00F8746B"/>
    <w:rsid w:val="00F91768"/>
    <w:rsid w:val="00F9446B"/>
    <w:rsid w:val="00F95F50"/>
    <w:rsid w:val="00FA041A"/>
    <w:rsid w:val="00FA04F9"/>
    <w:rsid w:val="00FA0A3B"/>
    <w:rsid w:val="00FA1513"/>
    <w:rsid w:val="00FA19EF"/>
    <w:rsid w:val="00FA1C96"/>
    <w:rsid w:val="00FA28DD"/>
    <w:rsid w:val="00FA2B08"/>
    <w:rsid w:val="00FA7EA4"/>
    <w:rsid w:val="00FB0584"/>
    <w:rsid w:val="00FB15C0"/>
    <w:rsid w:val="00FB1E6F"/>
    <w:rsid w:val="00FB1F09"/>
    <w:rsid w:val="00FB22E4"/>
    <w:rsid w:val="00FB269C"/>
    <w:rsid w:val="00FB27EA"/>
    <w:rsid w:val="00FB2FCB"/>
    <w:rsid w:val="00FB336D"/>
    <w:rsid w:val="00FB7212"/>
    <w:rsid w:val="00FC05F5"/>
    <w:rsid w:val="00FC0A9F"/>
    <w:rsid w:val="00FC0F2C"/>
    <w:rsid w:val="00FC1050"/>
    <w:rsid w:val="00FC277C"/>
    <w:rsid w:val="00FC316E"/>
    <w:rsid w:val="00FC3201"/>
    <w:rsid w:val="00FC336A"/>
    <w:rsid w:val="00FC34B6"/>
    <w:rsid w:val="00FC4DB8"/>
    <w:rsid w:val="00FC4EAC"/>
    <w:rsid w:val="00FC55C1"/>
    <w:rsid w:val="00FC78D8"/>
    <w:rsid w:val="00FC7DE0"/>
    <w:rsid w:val="00FC7F2F"/>
    <w:rsid w:val="00FD0E26"/>
    <w:rsid w:val="00FD18F7"/>
    <w:rsid w:val="00FD2FF7"/>
    <w:rsid w:val="00FD3E87"/>
    <w:rsid w:val="00FD4EA5"/>
    <w:rsid w:val="00FD5FCB"/>
    <w:rsid w:val="00FD658D"/>
    <w:rsid w:val="00FE0DC2"/>
    <w:rsid w:val="00FE10AA"/>
    <w:rsid w:val="00FE1207"/>
    <w:rsid w:val="00FE12A2"/>
    <w:rsid w:val="00FE1470"/>
    <w:rsid w:val="00FE2C7D"/>
    <w:rsid w:val="00FE40A0"/>
    <w:rsid w:val="00FE43C1"/>
    <w:rsid w:val="00FE4FF1"/>
    <w:rsid w:val="00FE639D"/>
    <w:rsid w:val="00FE72D9"/>
    <w:rsid w:val="00FF0E1D"/>
    <w:rsid w:val="00FF0F66"/>
    <w:rsid w:val="00FF2448"/>
    <w:rsid w:val="00FF2BAC"/>
    <w:rsid w:val="00FF386F"/>
    <w:rsid w:val="00FF4A67"/>
    <w:rsid w:val="00FF4B9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iPriority="0"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412B0"/>
    <w:rPr>
      <w:sz w:val="24"/>
      <w:szCs w:val="24"/>
      <w:lang w:val="en-GB"/>
    </w:rPr>
  </w:style>
  <w:style w:type="paragraph" w:styleId="Heading1">
    <w:name w:val="heading 1"/>
    <w:basedOn w:val="Normal"/>
    <w:next w:val="Normal"/>
    <w:link w:val="Heading1Char"/>
    <w:uiPriority w:val="99"/>
    <w:qFormat/>
    <w:rsid w:val="003412B0"/>
    <w:pPr>
      <w:keepNext/>
      <w:outlineLvl w:val="0"/>
    </w:pPr>
    <w:rPr>
      <w:b/>
      <w:bCs/>
      <w:sz w:val="32"/>
    </w:rPr>
  </w:style>
  <w:style w:type="paragraph" w:styleId="Heading2">
    <w:name w:val="heading 2"/>
    <w:basedOn w:val="Normal"/>
    <w:next w:val="Normal"/>
    <w:link w:val="Heading2Char"/>
    <w:uiPriority w:val="99"/>
    <w:qFormat/>
    <w:rsid w:val="003412B0"/>
    <w:pPr>
      <w:keepNext/>
      <w:outlineLvl w:val="1"/>
    </w:pPr>
    <w:rPr>
      <w:b/>
      <w:bCs/>
    </w:rPr>
  </w:style>
  <w:style w:type="paragraph" w:styleId="Heading3">
    <w:name w:val="heading 3"/>
    <w:basedOn w:val="Normal"/>
    <w:next w:val="Normal"/>
    <w:link w:val="Heading3Char"/>
    <w:uiPriority w:val="99"/>
    <w:qFormat/>
    <w:rsid w:val="003412B0"/>
    <w:pPr>
      <w:keepNext/>
      <w:numPr>
        <w:numId w:val="1"/>
      </w:numPr>
      <w:tabs>
        <w:tab w:val="num" w:pos="720"/>
      </w:tabs>
      <w:ind w:hanging="1080"/>
      <w:outlineLvl w:val="2"/>
    </w:pPr>
    <w:rPr>
      <w:b/>
      <w:bCs/>
    </w:rPr>
  </w:style>
  <w:style w:type="paragraph" w:styleId="Heading4">
    <w:name w:val="heading 4"/>
    <w:aliases w:val="Sub-Minor,Oscar Faber 4,Te,Te1,Te2,Te3,Te4,Te5,Te6,Te7,Te8,Te9,Te10,Te11,Te91,Te12,Te21,Te31,Te41,Te51,Te61,Te71,Te81,Te92,Te101,Te111,Te911,Te13,Te22,Te32,Te42,Te52,Te62,Te72,Te82,Te93,Te102,Te112,Te912,Te14,Te23,Te33,Te43,Te53,Te63,Te73"/>
    <w:basedOn w:val="Normal"/>
    <w:next w:val="Normal"/>
    <w:link w:val="Heading4Char"/>
    <w:uiPriority w:val="99"/>
    <w:qFormat/>
    <w:rsid w:val="003412B0"/>
    <w:pPr>
      <w:keepNext/>
      <w:numPr>
        <w:numId w:val="2"/>
      </w:numPr>
      <w:outlineLvl w:val="3"/>
    </w:pPr>
    <w:rPr>
      <w:b/>
      <w:bCs/>
    </w:rPr>
  </w:style>
  <w:style w:type="paragraph" w:styleId="Heading5">
    <w:name w:val="heading 5"/>
    <w:basedOn w:val="Normal"/>
    <w:next w:val="Normal"/>
    <w:link w:val="Heading5Char"/>
    <w:uiPriority w:val="99"/>
    <w:qFormat/>
    <w:rsid w:val="003412B0"/>
    <w:pPr>
      <w:keepNext/>
      <w:ind w:left="720"/>
      <w:jc w:val="both"/>
      <w:outlineLvl w:val="4"/>
    </w:pPr>
    <w:rPr>
      <w:b/>
      <w:iCs/>
    </w:rPr>
  </w:style>
  <w:style w:type="paragraph" w:styleId="Heading6">
    <w:name w:val="heading 6"/>
    <w:basedOn w:val="Normal"/>
    <w:next w:val="Normal"/>
    <w:link w:val="Heading6Char"/>
    <w:uiPriority w:val="99"/>
    <w:qFormat/>
    <w:rsid w:val="003412B0"/>
    <w:pPr>
      <w:keepNext/>
      <w:tabs>
        <w:tab w:val="left" w:pos="2970"/>
      </w:tabs>
      <w:jc w:val="center"/>
      <w:outlineLvl w:val="5"/>
    </w:pPr>
    <w:rPr>
      <w:b/>
      <w:bCs/>
      <w:iCs/>
      <w:szCs w:val="28"/>
    </w:rPr>
  </w:style>
  <w:style w:type="paragraph" w:styleId="Heading7">
    <w:name w:val="heading 7"/>
    <w:basedOn w:val="Normal"/>
    <w:next w:val="Normal"/>
    <w:link w:val="Heading7Char"/>
    <w:uiPriority w:val="99"/>
    <w:qFormat/>
    <w:rsid w:val="003412B0"/>
    <w:pPr>
      <w:keepNext/>
      <w:ind w:left="360"/>
      <w:jc w:val="both"/>
      <w:outlineLvl w:val="6"/>
    </w:pPr>
    <w:rPr>
      <w:b/>
      <w:iCs/>
      <w:u w:val="single"/>
    </w:rPr>
  </w:style>
  <w:style w:type="paragraph" w:styleId="Heading8">
    <w:name w:val="heading 8"/>
    <w:basedOn w:val="Normal"/>
    <w:next w:val="Normal"/>
    <w:link w:val="Heading8Char"/>
    <w:uiPriority w:val="99"/>
    <w:qFormat/>
    <w:rsid w:val="003412B0"/>
    <w:pPr>
      <w:keepNext/>
      <w:jc w:val="both"/>
      <w:outlineLvl w:val="7"/>
    </w:pPr>
    <w:rPr>
      <w:b/>
      <w:bCs/>
    </w:rPr>
  </w:style>
  <w:style w:type="paragraph" w:styleId="Heading9">
    <w:name w:val="heading 9"/>
    <w:basedOn w:val="Normal"/>
    <w:next w:val="Normal"/>
    <w:link w:val="Heading9Char"/>
    <w:uiPriority w:val="99"/>
    <w:qFormat/>
    <w:rsid w:val="003412B0"/>
    <w:pPr>
      <w:keepNext/>
      <w:outlineLvl w:val="8"/>
    </w:pPr>
    <w:rPr>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D3E87"/>
    <w:rPr>
      <w:rFonts w:ascii="Cambria" w:hAnsi="Cambria" w:cs="Times New Roman"/>
      <w:b/>
      <w:bCs/>
      <w:kern w:val="32"/>
      <w:sz w:val="32"/>
      <w:szCs w:val="32"/>
      <w:lang w:val="en-GB"/>
    </w:rPr>
  </w:style>
  <w:style w:type="character" w:customStyle="1" w:styleId="Heading2Char">
    <w:name w:val="Heading 2 Char"/>
    <w:basedOn w:val="DefaultParagraphFont"/>
    <w:link w:val="Heading2"/>
    <w:uiPriority w:val="99"/>
    <w:locked/>
    <w:rsid w:val="000D2BCE"/>
    <w:rPr>
      <w:rFonts w:cs="Times New Roman"/>
      <w:b/>
      <w:bCs/>
      <w:sz w:val="24"/>
      <w:szCs w:val="24"/>
      <w:lang w:eastAsia="en-US"/>
    </w:rPr>
  </w:style>
  <w:style w:type="character" w:customStyle="1" w:styleId="Heading3Char">
    <w:name w:val="Heading 3 Char"/>
    <w:basedOn w:val="DefaultParagraphFont"/>
    <w:link w:val="Heading3"/>
    <w:uiPriority w:val="99"/>
    <w:locked/>
    <w:rsid w:val="00FD3E87"/>
    <w:rPr>
      <w:rFonts w:cs="Times New Roman"/>
      <w:b/>
      <w:bCs/>
      <w:sz w:val="24"/>
      <w:szCs w:val="24"/>
      <w:lang w:val="en-GB"/>
    </w:rPr>
  </w:style>
  <w:style w:type="character" w:customStyle="1" w:styleId="Heading4Char">
    <w:name w:val="Heading 4 Char"/>
    <w:aliases w:val="Sub-Minor Char,Oscar Faber 4 Char,Te Char,Te1 Char,Te2 Char,Te3 Char,Te4 Char,Te5 Char,Te6 Char,Te7 Char,Te8 Char,Te9 Char,Te10 Char,Te11 Char,Te91 Char,Te12 Char,Te21 Char,Te31 Char,Te41 Char,Te51 Char,Te61 Char,Te71 Char,Te81 Char"/>
    <w:basedOn w:val="DefaultParagraphFont"/>
    <w:link w:val="Heading4"/>
    <w:uiPriority w:val="99"/>
    <w:locked/>
    <w:rsid w:val="00B418CA"/>
    <w:rPr>
      <w:rFonts w:cs="Times New Roman"/>
      <w:b/>
      <w:bCs/>
      <w:sz w:val="24"/>
      <w:szCs w:val="24"/>
      <w:lang w:val="en-GB"/>
    </w:rPr>
  </w:style>
  <w:style w:type="character" w:customStyle="1" w:styleId="Heading5Char">
    <w:name w:val="Heading 5 Char"/>
    <w:basedOn w:val="DefaultParagraphFont"/>
    <w:link w:val="Heading5"/>
    <w:uiPriority w:val="99"/>
    <w:semiHidden/>
    <w:locked/>
    <w:rsid w:val="00FD3E87"/>
    <w:rPr>
      <w:rFonts w:ascii="Calibri" w:hAnsi="Calibri" w:cs="Times New Roman"/>
      <w:b/>
      <w:bCs/>
      <w:i/>
      <w:iCs/>
      <w:sz w:val="26"/>
      <w:szCs w:val="26"/>
      <w:lang w:val="en-GB"/>
    </w:rPr>
  </w:style>
  <w:style w:type="character" w:customStyle="1" w:styleId="Heading6Char">
    <w:name w:val="Heading 6 Char"/>
    <w:basedOn w:val="DefaultParagraphFont"/>
    <w:link w:val="Heading6"/>
    <w:uiPriority w:val="99"/>
    <w:locked/>
    <w:rsid w:val="00364CC3"/>
    <w:rPr>
      <w:rFonts w:cs="Times New Roman"/>
      <w:b/>
      <w:bCs/>
      <w:iCs/>
      <w:sz w:val="28"/>
      <w:szCs w:val="28"/>
      <w:lang w:eastAsia="en-US"/>
    </w:rPr>
  </w:style>
  <w:style w:type="character" w:customStyle="1" w:styleId="Heading7Char">
    <w:name w:val="Heading 7 Char"/>
    <w:basedOn w:val="DefaultParagraphFont"/>
    <w:link w:val="Heading7"/>
    <w:uiPriority w:val="99"/>
    <w:semiHidden/>
    <w:locked/>
    <w:rsid w:val="00FD3E87"/>
    <w:rPr>
      <w:rFonts w:ascii="Calibri" w:hAnsi="Calibri" w:cs="Times New Roman"/>
      <w:sz w:val="24"/>
      <w:szCs w:val="24"/>
      <w:lang w:val="en-GB"/>
    </w:rPr>
  </w:style>
  <w:style w:type="character" w:customStyle="1" w:styleId="Heading8Char">
    <w:name w:val="Heading 8 Char"/>
    <w:basedOn w:val="DefaultParagraphFont"/>
    <w:link w:val="Heading8"/>
    <w:uiPriority w:val="99"/>
    <w:semiHidden/>
    <w:locked/>
    <w:rsid w:val="00FD3E87"/>
    <w:rPr>
      <w:rFonts w:ascii="Calibri" w:hAnsi="Calibri" w:cs="Times New Roman"/>
      <w:i/>
      <w:iCs/>
      <w:sz w:val="24"/>
      <w:szCs w:val="24"/>
      <w:lang w:val="en-GB"/>
    </w:rPr>
  </w:style>
  <w:style w:type="character" w:customStyle="1" w:styleId="Heading9Char">
    <w:name w:val="Heading 9 Char"/>
    <w:basedOn w:val="DefaultParagraphFont"/>
    <w:link w:val="Heading9"/>
    <w:uiPriority w:val="99"/>
    <w:semiHidden/>
    <w:locked/>
    <w:rsid w:val="00FD3E87"/>
    <w:rPr>
      <w:rFonts w:ascii="Cambria" w:hAnsi="Cambria" w:cs="Times New Roman"/>
      <w:lang w:val="en-GB"/>
    </w:rPr>
  </w:style>
  <w:style w:type="paragraph" w:styleId="Footer">
    <w:name w:val="footer"/>
    <w:basedOn w:val="Normal"/>
    <w:link w:val="FooterChar"/>
    <w:uiPriority w:val="99"/>
    <w:rsid w:val="003412B0"/>
    <w:pPr>
      <w:tabs>
        <w:tab w:val="center" w:pos="4153"/>
        <w:tab w:val="right" w:pos="8306"/>
      </w:tabs>
    </w:pPr>
  </w:style>
  <w:style w:type="character" w:customStyle="1" w:styleId="FooterChar">
    <w:name w:val="Footer Char"/>
    <w:basedOn w:val="DefaultParagraphFont"/>
    <w:link w:val="Footer"/>
    <w:uiPriority w:val="99"/>
    <w:semiHidden/>
    <w:locked/>
    <w:rsid w:val="00FD3E87"/>
    <w:rPr>
      <w:rFonts w:cs="Times New Roman"/>
      <w:sz w:val="24"/>
      <w:szCs w:val="24"/>
      <w:lang w:val="en-GB"/>
    </w:rPr>
  </w:style>
  <w:style w:type="character" w:styleId="PageNumber">
    <w:name w:val="page number"/>
    <w:basedOn w:val="DefaultParagraphFont"/>
    <w:uiPriority w:val="99"/>
    <w:rsid w:val="003412B0"/>
    <w:rPr>
      <w:rFonts w:cs="Times New Roman"/>
    </w:rPr>
  </w:style>
  <w:style w:type="paragraph" w:styleId="BodyTextIndent">
    <w:name w:val="Body Text Indent"/>
    <w:basedOn w:val="Normal"/>
    <w:link w:val="BodyTextIndentChar"/>
    <w:uiPriority w:val="99"/>
    <w:rsid w:val="003412B0"/>
    <w:pPr>
      <w:ind w:left="360"/>
    </w:pPr>
    <w:rPr>
      <w:iCs/>
    </w:rPr>
  </w:style>
  <w:style w:type="character" w:customStyle="1" w:styleId="BodyTextIndentChar">
    <w:name w:val="Body Text Indent Char"/>
    <w:basedOn w:val="DefaultParagraphFont"/>
    <w:link w:val="BodyTextIndent"/>
    <w:uiPriority w:val="99"/>
    <w:locked/>
    <w:rsid w:val="00364CC3"/>
    <w:rPr>
      <w:rFonts w:cs="Times New Roman"/>
      <w:iCs/>
      <w:sz w:val="24"/>
      <w:szCs w:val="24"/>
      <w:lang w:eastAsia="en-US"/>
    </w:rPr>
  </w:style>
  <w:style w:type="paragraph" w:styleId="BodyTextIndent2">
    <w:name w:val="Body Text Indent 2"/>
    <w:basedOn w:val="Normal"/>
    <w:link w:val="BodyTextIndent2Char"/>
    <w:uiPriority w:val="99"/>
    <w:rsid w:val="003412B0"/>
    <w:pPr>
      <w:ind w:left="720"/>
      <w:jc w:val="both"/>
    </w:pPr>
    <w:rPr>
      <w:bCs/>
      <w:iCs/>
    </w:rPr>
  </w:style>
  <w:style w:type="character" w:customStyle="1" w:styleId="BodyTextIndent2Char">
    <w:name w:val="Body Text Indent 2 Char"/>
    <w:basedOn w:val="DefaultParagraphFont"/>
    <w:link w:val="BodyTextIndent2"/>
    <w:uiPriority w:val="99"/>
    <w:locked/>
    <w:rsid w:val="00594963"/>
    <w:rPr>
      <w:rFonts w:cs="Times New Roman"/>
      <w:bCs/>
      <w:iCs/>
      <w:sz w:val="24"/>
      <w:szCs w:val="24"/>
      <w:lang w:eastAsia="en-US"/>
    </w:rPr>
  </w:style>
  <w:style w:type="paragraph" w:styleId="BodyTextIndent3">
    <w:name w:val="Body Text Indent 3"/>
    <w:basedOn w:val="Normal"/>
    <w:link w:val="BodyTextIndent3Char"/>
    <w:uiPriority w:val="99"/>
    <w:rsid w:val="003412B0"/>
    <w:pPr>
      <w:ind w:left="360"/>
      <w:jc w:val="both"/>
    </w:pPr>
    <w:rPr>
      <w:iCs/>
    </w:rPr>
  </w:style>
  <w:style w:type="character" w:customStyle="1" w:styleId="BodyTextIndent3Char">
    <w:name w:val="Body Text Indent 3 Char"/>
    <w:basedOn w:val="DefaultParagraphFont"/>
    <w:link w:val="BodyTextIndent3"/>
    <w:uiPriority w:val="99"/>
    <w:locked/>
    <w:rsid w:val="00364CC3"/>
    <w:rPr>
      <w:rFonts w:cs="Times New Roman"/>
      <w:iCs/>
      <w:sz w:val="24"/>
      <w:szCs w:val="24"/>
      <w:lang w:eastAsia="en-US"/>
    </w:rPr>
  </w:style>
  <w:style w:type="paragraph" w:styleId="BodyText">
    <w:name w:val="Body Text"/>
    <w:basedOn w:val="Normal"/>
    <w:link w:val="BodyTextChar"/>
    <w:uiPriority w:val="99"/>
    <w:rsid w:val="003412B0"/>
    <w:pPr>
      <w:jc w:val="both"/>
    </w:pPr>
    <w:rPr>
      <w:sz w:val="22"/>
    </w:rPr>
  </w:style>
  <w:style w:type="character" w:customStyle="1" w:styleId="BodyTextChar">
    <w:name w:val="Body Text Char"/>
    <w:basedOn w:val="DefaultParagraphFont"/>
    <w:link w:val="BodyText"/>
    <w:uiPriority w:val="99"/>
    <w:semiHidden/>
    <w:locked/>
    <w:rsid w:val="00FD3E87"/>
    <w:rPr>
      <w:rFonts w:cs="Times New Roman"/>
      <w:sz w:val="24"/>
      <w:szCs w:val="24"/>
      <w:lang w:val="en-GB"/>
    </w:rPr>
  </w:style>
  <w:style w:type="paragraph" w:styleId="BodyText2">
    <w:name w:val="Body Text 2"/>
    <w:basedOn w:val="Normal"/>
    <w:link w:val="BodyText2Char"/>
    <w:uiPriority w:val="99"/>
    <w:rsid w:val="003412B0"/>
    <w:pPr>
      <w:jc w:val="center"/>
    </w:pPr>
    <w:rPr>
      <w:rFonts w:ascii="Arial" w:hAnsi="Arial" w:cs="Arial"/>
      <w:b/>
      <w:bCs/>
    </w:rPr>
  </w:style>
  <w:style w:type="character" w:customStyle="1" w:styleId="BodyText2Char">
    <w:name w:val="Body Text 2 Char"/>
    <w:basedOn w:val="DefaultParagraphFont"/>
    <w:link w:val="BodyText2"/>
    <w:uiPriority w:val="99"/>
    <w:semiHidden/>
    <w:locked/>
    <w:rsid w:val="00FD3E87"/>
    <w:rPr>
      <w:rFonts w:cs="Times New Roman"/>
      <w:sz w:val="24"/>
      <w:szCs w:val="24"/>
      <w:lang w:val="en-GB"/>
    </w:rPr>
  </w:style>
  <w:style w:type="paragraph" w:customStyle="1" w:styleId="Pa3">
    <w:name w:val="Pa3"/>
    <w:basedOn w:val="Normal"/>
    <w:next w:val="Normal"/>
    <w:uiPriority w:val="99"/>
    <w:rsid w:val="003412B0"/>
    <w:pPr>
      <w:autoSpaceDE w:val="0"/>
      <w:autoSpaceDN w:val="0"/>
      <w:adjustRightInd w:val="0"/>
      <w:spacing w:after="220" w:line="201" w:lineRule="atLeast"/>
    </w:pPr>
    <w:rPr>
      <w:rFonts w:ascii="Univers" w:hAnsi="Univers"/>
      <w:lang w:val="en-US"/>
    </w:rPr>
  </w:style>
  <w:style w:type="paragraph" w:styleId="BalloonText">
    <w:name w:val="Balloon Text"/>
    <w:basedOn w:val="Normal"/>
    <w:link w:val="BalloonTextChar"/>
    <w:uiPriority w:val="99"/>
    <w:semiHidden/>
    <w:rsid w:val="003412B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3E87"/>
    <w:rPr>
      <w:rFonts w:cs="Times New Roman"/>
      <w:sz w:val="2"/>
      <w:lang w:val="en-GB"/>
    </w:rPr>
  </w:style>
  <w:style w:type="paragraph" w:styleId="ListParagraph">
    <w:name w:val="List Paragraph"/>
    <w:basedOn w:val="Normal"/>
    <w:uiPriority w:val="99"/>
    <w:qFormat/>
    <w:rsid w:val="00A52958"/>
    <w:pPr>
      <w:spacing w:after="200" w:line="276" w:lineRule="auto"/>
      <w:ind w:left="720"/>
      <w:contextualSpacing/>
    </w:pPr>
    <w:rPr>
      <w:rFonts w:ascii="Calibri" w:hAnsi="Calibri"/>
      <w:sz w:val="22"/>
      <w:szCs w:val="22"/>
    </w:rPr>
  </w:style>
  <w:style w:type="table" w:styleId="TableGrid">
    <w:name w:val="Table Grid"/>
    <w:basedOn w:val="TableNormal"/>
    <w:uiPriority w:val="99"/>
    <w:rsid w:val="00A5295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6E239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FD3E87"/>
    <w:rPr>
      <w:rFonts w:cs="Times New Roman"/>
      <w:sz w:val="2"/>
      <w:lang w:val="en-GB"/>
    </w:rPr>
  </w:style>
  <w:style w:type="paragraph" w:customStyle="1" w:styleId="Default">
    <w:name w:val="Default"/>
    <w:uiPriority w:val="99"/>
    <w:rsid w:val="005729FB"/>
    <w:pPr>
      <w:autoSpaceDE w:val="0"/>
      <w:autoSpaceDN w:val="0"/>
      <w:adjustRightInd w:val="0"/>
    </w:pPr>
    <w:rPr>
      <w:rFonts w:ascii="Arial" w:hAnsi="Arial" w:cs="Arial"/>
      <w:color w:val="000000"/>
      <w:sz w:val="24"/>
      <w:szCs w:val="24"/>
      <w:lang w:val="en-GB" w:eastAsia="en-GB"/>
    </w:rPr>
  </w:style>
  <w:style w:type="paragraph" w:styleId="NormalWeb">
    <w:name w:val="Normal (Web)"/>
    <w:basedOn w:val="Normal"/>
    <w:uiPriority w:val="99"/>
    <w:rsid w:val="00CB6B8B"/>
    <w:pPr>
      <w:spacing w:before="145" w:after="73"/>
    </w:pPr>
    <w:rPr>
      <w:sz w:val="18"/>
      <w:szCs w:val="18"/>
      <w:lang w:eastAsia="en-GB"/>
    </w:rPr>
  </w:style>
  <w:style w:type="character" w:styleId="CommentReference">
    <w:name w:val="annotation reference"/>
    <w:basedOn w:val="DefaultParagraphFont"/>
    <w:uiPriority w:val="99"/>
    <w:rsid w:val="008F2CB2"/>
    <w:rPr>
      <w:rFonts w:cs="Times New Roman"/>
      <w:sz w:val="16"/>
      <w:szCs w:val="16"/>
    </w:rPr>
  </w:style>
  <w:style w:type="paragraph" w:styleId="CommentText">
    <w:name w:val="annotation text"/>
    <w:basedOn w:val="Normal"/>
    <w:link w:val="CommentTextChar"/>
    <w:uiPriority w:val="99"/>
    <w:rsid w:val="008F2CB2"/>
    <w:rPr>
      <w:sz w:val="20"/>
      <w:szCs w:val="20"/>
    </w:rPr>
  </w:style>
  <w:style w:type="character" w:customStyle="1" w:styleId="CommentTextChar">
    <w:name w:val="Comment Text Char"/>
    <w:basedOn w:val="DefaultParagraphFont"/>
    <w:link w:val="CommentText"/>
    <w:uiPriority w:val="99"/>
    <w:locked/>
    <w:rsid w:val="008F2CB2"/>
    <w:rPr>
      <w:rFonts w:cs="Times New Roman"/>
      <w:lang w:eastAsia="en-US"/>
    </w:rPr>
  </w:style>
  <w:style w:type="paragraph" w:styleId="CommentSubject">
    <w:name w:val="annotation subject"/>
    <w:basedOn w:val="CommentText"/>
    <w:next w:val="CommentText"/>
    <w:link w:val="CommentSubjectChar"/>
    <w:uiPriority w:val="99"/>
    <w:rsid w:val="008F2CB2"/>
    <w:rPr>
      <w:b/>
      <w:bCs/>
    </w:rPr>
  </w:style>
  <w:style w:type="character" w:customStyle="1" w:styleId="CommentSubjectChar">
    <w:name w:val="Comment Subject Char"/>
    <w:basedOn w:val="CommentTextChar"/>
    <w:link w:val="CommentSubject"/>
    <w:uiPriority w:val="99"/>
    <w:locked/>
    <w:rsid w:val="008F2CB2"/>
    <w:rPr>
      <w:b/>
      <w:bCs/>
    </w:rPr>
  </w:style>
  <w:style w:type="paragraph" w:styleId="Header">
    <w:name w:val="header"/>
    <w:basedOn w:val="Normal"/>
    <w:link w:val="HeaderChar"/>
    <w:rsid w:val="00987192"/>
    <w:pPr>
      <w:tabs>
        <w:tab w:val="center" w:pos="4513"/>
        <w:tab w:val="right" w:pos="9026"/>
      </w:tabs>
    </w:pPr>
  </w:style>
  <w:style w:type="character" w:customStyle="1" w:styleId="HeaderChar">
    <w:name w:val="Header Char"/>
    <w:basedOn w:val="DefaultParagraphFont"/>
    <w:link w:val="Header"/>
    <w:uiPriority w:val="99"/>
    <w:locked/>
    <w:rsid w:val="00987192"/>
    <w:rPr>
      <w:rFonts w:cs="Times New Roman"/>
      <w:sz w:val="24"/>
      <w:szCs w:val="24"/>
      <w:lang w:eastAsia="en-US"/>
    </w:rPr>
  </w:style>
  <w:style w:type="paragraph" w:styleId="Title">
    <w:name w:val="Title"/>
    <w:basedOn w:val="Normal"/>
    <w:link w:val="TitleChar"/>
    <w:uiPriority w:val="99"/>
    <w:qFormat/>
    <w:rsid w:val="00987192"/>
    <w:pPr>
      <w:overflowPunct w:val="0"/>
      <w:autoSpaceDE w:val="0"/>
      <w:autoSpaceDN w:val="0"/>
      <w:adjustRightInd w:val="0"/>
      <w:jc w:val="center"/>
      <w:textAlignment w:val="baseline"/>
    </w:pPr>
    <w:rPr>
      <w:b/>
      <w:sz w:val="22"/>
      <w:szCs w:val="20"/>
    </w:rPr>
  </w:style>
  <w:style w:type="character" w:customStyle="1" w:styleId="TitleChar">
    <w:name w:val="Title Char"/>
    <w:basedOn w:val="DefaultParagraphFont"/>
    <w:link w:val="Title"/>
    <w:uiPriority w:val="99"/>
    <w:locked/>
    <w:rsid w:val="00987192"/>
    <w:rPr>
      <w:rFonts w:cs="Times New Roman"/>
      <w:b/>
      <w:sz w:val="22"/>
      <w:lang w:eastAsia="en-US"/>
    </w:rPr>
  </w:style>
  <w:style w:type="character" w:customStyle="1" w:styleId="CharChar4">
    <w:name w:val="Char Char4"/>
    <w:basedOn w:val="DefaultParagraphFont"/>
    <w:uiPriority w:val="99"/>
    <w:locked/>
    <w:rsid w:val="0068381A"/>
    <w:rPr>
      <w:rFonts w:cs="Times New Roman"/>
      <w:iCs/>
      <w:sz w:val="24"/>
      <w:szCs w:val="24"/>
      <w:lang w:eastAsia="en-US"/>
    </w:rPr>
  </w:style>
  <w:style w:type="character" w:customStyle="1" w:styleId="CharChar6">
    <w:name w:val="Char Char6"/>
    <w:basedOn w:val="DefaultParagraphFont"/>
    <w:uiPriority w:val="99"/>
    <w:locked/>
    <w:rsid w:val="006C0D89"/>
    <w:rPr>
      <w:rFonts w:cs="Times New Roman"/>
      <w:iCs/>
      <w:sz w:val="24"/>
      <w:szCs w:val="24"/>
      <w:lang w:eastAsia="en-US"/>
    </w:rPr>
  </w:style>
</w:styles>
</file>

<file path=word/webSettings.xml><?xml version="1.0" encoding="utf-8"?>
<w:webSettings xmlns:r="http://schemas.openxmlformats.org/officeDocument/2006/relationships" xmlns:w="http://schemas.openxmlformats.org/wordprocessingml/2006/main">
  <w:divs>
    <w:div w:id="82580061">
      <w:bodyDiv w:val="1"/>
      <w:marLeft w:val="0"/>
      <w:marRight w:val="0"/>
      <w:marTop w:val="0"/>
      <w:marBottom w:val="0"/>
      <w:divBdr>
        <w:top w:val="none" w:sz="0" w:space="0" w:color="auto"/>
        <w:left w:val="none" w:sz="0" w:space="0" w:color="auto"/>
        <w:bottom w:val="none" w:sz="0" w:space="0" w:color="auto"/>
        <w:right w:val="none" w:sz="0" w:space="0" w:color="auto"/>
      </w:divBdr>
    </w:div>
    <w:div w:id="167528724">
      <w:bodyDiv w:val="1"/>
      <w:marLeft w:val="0"/>
      <w:marRight w:val="0"/>
      <w:marTop w:val="0"/>
      <w:marBottom w:val="0"/>
      <w:divBdr>
        <w:top w:val="none" w:sz="0" w:space="0" w:color="auto"/>
        <w:left w:val="none" w:sz="0" w:space="0" w:color="auto"/>
        <w:bottom w:val="none" w:sz="0" w:space="0" w:color="auto"/>
        <w:right w:val="none" w:sz="0" w:space="0" w:color="auto"/>
      </w:divBdr>
    </w:div>
    <w:div w:id="184908256">
      <w:bodyDiv w:val="1"/>
      <w:marLeft w:val="0"/>
      <w:marRight w:val="0"/>
      <w:marTop w:val="0"/>
      <w:marBottom w:val="0"/>
      <w:divBdr>
        <w:top w:val="none" w:sz="0" w:space="0" w:color="auto"/>
        <w:left w:val="none" w:sz="0" w:space="0" w:color="auto"/>
        <w:bottom w:val="none" w:sz="0" w:space="0" w:color="auto"/>
        <w:right w:val="none" w:sz="0" w:space="0" w:color="auto"/>
      </w:divBdr>
    </w:div>
    <w:div w:id="965891823">
      <w:bodyDiv w:val="1"/>
      <w:marLeft w:val="0"/>
      <w:marRight w:val="0"/>
      <w:marTop w:val="0"/>
      <w:marBottom w:val="0"/>
      <w:divBdr>
        <w:top w:val="none" w:sz="0" w:space="0" w:color="auto"/>
        <w:left w:val="none" w:sz="0" w:space="0" w:color="auto"/>
        <w:bottom w:val="none" w:sz="0" w:space="0" w:color="auto"/>
        <w:right w:val="none" w:sz="0" w:space="0" w:color="auto"/>
      </w:divBdr>
    </w:div>
    <w:div w:id="1741361706">
      <w:bodyDiv w:val="1"/>
      <w:marLeft w:val="0"/>
      <w:marRight w:val="0"/>
      <w:marTop w:val="0"/>
      <w:marBottom w:val="0"/>
      <w:divBdr>
        <w:top w:val="none" w:sz="0" w:space="0" w:color="auto"/>
        <w:left w:val="none" w:sz="0" w:space="0" w:color="auto"/>
        <w:bottom w:val="none" w:sz="0" w:space="0" w:color="auto"/>
        <w:right w:val="none" w:sz="0" w:space="0" w:color="auto"/>
      </w:divBdr>
    </w:div>
    <w:div w:id="1756392502">
      <w:marLeft w:val="0"/>
      <w:marRight w:val="0"/>
      <w:marTop w:val="0"/>
      <w:marBottom w:val="0"/>
      <w:divBdr>
        <w:top w:val="none" w:sz="0" w:space="0" w:color="auto"/>
        <w:left w:val="none" w:sz="0" w:space="0" w:color="auto"/>
        <w:bottom w:val="none" w:sz="0" w:space="0" w:color="auto"/>
        <w:right w:val="none" w:sz="0" w:space="0" w:color="auto"/>
      </w:divBdr>
      <w:divsChild>
        <w:div w:id="1756392503">
          <w:marLeft w:val="864"/>
          <w:marRight w:val="0"/>
          <w:marTop w:val="134"/>
          <w:marBottom w:val="0"/>
          <w:divBdr>
            <w:top w:val="none" w:sz="0" w:space="0" w:color="auto"/>
            <w:left w:val="none" w:sz="0" w:space="0" w:color="auto"/>
            <w:bottom w:val="none" w:sz="0" w:space="0" w:color="auto"/>
            <w:right w:val="none" w:sz="0" w:space="0" w:color="auto"/>
          </w:divBdr>
        </w:div>
        <w:div w:id="1756392530">
          <w:marLeft w:val="864"/>
          <w:marRight w:val="0"/>
          <w:marTop w:val="134"/>
          <w:marBottom w:val="0"/>
          <w:divBdr>
            <w:top w:val="none" w:sz="0" w:space="0" w:color="auto"/>
            <w:left w:val="none" w:sz="0" w:space="0" w:color="auto"/>
            <w:bottom w:val="none" w:sz="0" w:space="0" w:color="auto"/>
            <w:right w:val="none" w:sz="0" w:space="0" w:color="auto"/>
          </w:divBdr>
        </w:div>
        <w:div w:id="1756392533">
          <w:marLeft w:val="864"/>
          <w:marRight w:val="0"/>
          <w:marTop w:val="134"/>
          <w:marBottom w:val="0"/>
          <w:divBdr>
            <w:top w:val="none" w:sz="0" w:space="0" w:color="auto"/>
            <w:left w:val="none" w:sz="0" w:space="0" w:color="auto"/>
            <w:bottom w:val="none" w:sz="0" w:space="0" w:color="auto"/>
            <w:right w:val="none" w:sz="0" w:space="0" w:color="auto"/>
          </w:divBdr>
        </w:div>
      </w:divsChild>
    </w:div>
    <w:div w:id="1756392505">
      <w:marLeft w:val="0"/>
      <w:marRight w:val="0"/>
      <w:marTop w:val="0"/>
      <w:marBottom w:val="0"/>
      <w:divBdr>
        <w:top w:val="none" w:sz="0" w:space="0" w:color="auto"/>
        <w:left w:val="none" w:sz="0" w:space="0" w:color="auto"/>
        <w:bottom w:val="none" w:sz="0" w:space="0" w:color="auto"/>
        <w:right w:val="none" w:sz="0" w:space="0" w:color="auto"/>
      </w:divBdr>
    </w:div>
    <w:div w:id="1756392507">
      <w:marLeft w:val="0"/>
      <w:marRight w:val="0"/>
      <w:marTop w:val="0"/>
      <w:marBottom w:val="0"/>
      <w:divBdr>
        <w:top w:val="none" w:sz="0" w:space="0" w:color="auto"/>
        <w:left w:val="none" w:sz="0" w:space="0" w:color="auto"/>
        <w:bottom w:val="none" w:sz="0" w:space="0" w:color="auto"/>
        <w:right w:val="none" w:sz="0" w:space="0" w:color="auto"/>
      </w:divBdr>
    </w:div>
    <w:div w:id="1756392508">
      <w:marLeft w:val="0"/>
      <w:marRight w:val="0"/>
      <w:marTop w:val="0"/>
      <w:marBottom w:val="0"/>
      <w:divBdr>
        <w:top w:val="none" w:sz="0" w:space="0" w:color="auto"/>
        <w:left w:val="none" w:sz="0" w:space="0" w:color="auto"/>
        <w:bottom w:val="none" w:sz="0" w:space="0" w:color="auto"/>
        <w:right w:val="none" w:sz="0" w:space="0" w:color="auto"/>
      </w:divBdr>
    </w:div>
    <w:div w:id="1756392509">
      <w:marLeft w:val="0"/>
      <w:marRight w:val="0"/>
      <w:marTop w:val="0"/>
      <w:marBottom w:val="0"/>
      <w:divBdr>
        <w:top w:val="none" w:sz="0" w:space="0" w:color="auto"/>
        <w:left w:val="none" w:sz="0" w:space="0" w:color="auto"/>
        <w:bottom w:val="none" w:sz="0" w:space="0" w:color="auto"/>
        <w:right w:val="none" w:sz="0" w:space="0" w:color="auto"/>
      </w:divBdr>
    </w:div>
    <w:div w:id="1756392510">
      <w:marLeft w:val="0"/>
      <w:marRight w:val="0"/>
      <w:marTop w:val="0"/>
      <w:marBottom w:val="0"/>
      <w:divBdr>
        <w:top w:val="none" w:sz="0" w:space="0" w:color="auto"/>
        <w:left w:val="none" w:sz="0" w:space="0" w:color="auto"/>
        <w:bottom w:val="none" w:sz="0" w:space="0" w:color="auto"/>
        <w:right w:val="none" w:sz="0" w:space="0" w:color="auto"/>
      </w:divBdr>
    </w:div>
    <w:div w:id="1756392511">
      <w:marLeft w:val="0"/>
      <w:marRight w:val="0"/>
      <w:marTop w:val="0"/>
      <w:marBottom w:val="0"/>
      <w:divBdr>
        <w:top w:val="none" w:sz="0" w:space="0" w:color="auto"/>
        <w:left w:val="none" w:sz="0" w:space="0" w:color="auto"/>
        <w:bottom w:val="none" w:sz="0" w:space="0" w:color="auto"/>
        <w:right w:val="none" w:sz="0" w:space="0" w:color="auto"/>
      </w:divBdr>
    </w:div>
    <w:div w:id="1756392515">
      <w:marLeft w:val="0"/>
      <w:marRight w:val="0"/>
      <w:marTop w:val="0"/>
      <w:marBottom w:val="0"/>
      <w:divBdr>
        <w:top w:val="none" w:sz="0" w:space="0" w:color="auto"/>
        <w:left w:val="none" w:sz="0" w:space="0" w:color="auto"/>
        <w:bottom w:val="none" w:sz="0" w:space="0" w:color="auto"/>
        <w:right w:val="none" w:sz="0" w:space="0" w:color="auto"/>
      </w:divBdr>
    </w:div>
    <w:div w:id="1756392518">
      <w:marLeft w:val="0"/>
      <w:marRight w:val="0"/>
      <w:marTop w:val="0"/>
      <w:marBottom w:val="0"/>
      <w:divBdr>
        <w:top w:val="none" w:sz="0" w:space="0" w:color="auto"/>
        <w:left w:val="none" w:sz="0" w:space="0" w:color="auto"/>
        <w:bottom w:val="none" w:sz="0" w:space="0" w:color="auto"/>
        <w:right w:val="none" w:sz="0" w:space="0" w:color="auto"/>
      </w:divBdr>
    </w:div>
    <w:div w:id="1756392521">
      <w:marLeft w:val="0"/>
      <w:marRight w:val="0"/>
      <w:marTop w:val="0"/>
      <w:marBottom w:val="0"/>
      <w:divBdr>
        <w:top w:val="none" w:sz="0" w:space="0" w:color="auto"/>
        <w:left w:val="none" w:sz="0" w:space="0" w:color="auto"/>
        <w:bottom w:val="none" w:sz="0" w:space="0" w:color="auto"/>
        <w:right w:val="none" w:sz="0" w:space="0" w:color="auto"/>
      </w:divBdr>
    </w:div>
    <w:div w:id="1756392524">
      <w:marLeft w:val="0"/>
      <w:marRight w:val="0"/>
      <w:marTop w:val="0"/>
      <w:marBottom w:val="0"/>
      <w:divBdr>
        <w:top w:val="none" w:sz="0" w:space="0" w:color="auto"/>
        <w:left w:val="none" w:sz="0" w:space="0" w:color="auto"/>
        <w:bottom w:val="none" w:sz="0" w:space="0" w:color="auto"/>
        <w:right w:val="none" w:sz="0" w:space="0" w:color="auto"/>
      </w:divBdr>
      <w:divsChild>
        <w:div w:id="1756392512">
          <w:marLeft w:val="0"/>
          <w:marRight w:val="0"/>
          <w:marTop w:val="0"/>
          <w:marBottom w:val="0"/>
          <w:divBdr>
            <w:top w:val="none" w:sz="0" w:space="0" w:color="auto"/>
            <w:left w:val="none" w:sz="0" w:space="0" w:color="auto"/>
            <w:bottom w:val="none" w:sz="0" w:space="0" w:color="auto"/>
            <w:right w:val="none" w:sz="0" w:space="0" w:color="auto"/>
          </w:divBdr>
          <w:divsChild>
            <w:div w:id="1756392504">
              <w:marLeft w:val="0"/>
              <w:marRight w:val="0"/>
              <w:marTop w:val="0"/>
              <w:marBottom w:val="0"/>
              <w:divBdr>
                <w:top w:val="none" w:sz="0" w:space="0" w:color="auto"/>
                <w:left w:val="none" w:sz="0" w:space="0" w:color="auto"/>
                <w:bottom w:val="none" w:sz="0" w:space="0" w:color="auto"/>
                <w:right w:val="none" w:sz="0" w:space="0" w:color="auto"/>
              </w:divBdr>
            </w:div>
            <w:div w:id="1756392506">
              <w:marLeft w:val="0"/>
              <w:marRight w:val="0"/>
              <w:marTop w:val="0"/>
              <w:marBottom w:val="0"/>
              <w:divBdr>
                <w:top w:val="none" w:sz="0" w:space="0" w:color="auto"/>
                <w:left w:val="none" w:sz="0" w:space="0" w:color="auto"/>
                <w:bottom w:val="none" w:sz="0" w:space="0" w:color="auto"/>
                <w:right w:val="none" w:sz="0" w:space="0" w:color="auto"/>
              </w:divBdr>
            </w:div>
            <w:div w:id="1756392513">
              <w:marLeft w:val="0"/>
              <w:marRight w:val="0"/>
              <w:marTop w:val="0"/>
              <w:marBottom w:val="0"/>
              <w:divBdr>
                <w:top w:val="none" w:sz="0" w:space="0" w:color="auto"/>
                <w:left w:val="none" w:sz="0" w:space="0" w:color="auto"/>
                <w:bottom w:val="none" w:sz="0" w:space="0" w:color="auto"/>
                <w:right w:val="none" w:sz="0" w:space="0" w:color="auto"/>
              </w:divBdr>
            </w:div>
            <w:div w:id="1756392514">
              <w:marLeft w:val="0"/>
              <w:marRight w:val="0"/>
              <w:marTop w:val="0"/>
              <w:marBottom w:val="0"/>
              <w:divBdr>
                <w:top w:val="none" w:sz="0" w:space="0" w:color="auto"/>
                <w:left w:val="none" w:sz="0" w:space="0" w:color="auto"/>
                <w:bottom w:val="none" w:sz="0" w:space="0" w:color="auto"/>
                <w:right w:val="none" w:sz="0" w:space="0" w:color="auto"/>
              </w:divBdr>
            </w:div>
            <w:div w:id="1756392516">
              <w:marLeft w:val="0"/>
              <w:marRight w:val="0"/>
              <w:marTop w:val="0"/>
              <w:marBottom w:val="0"/>
              <w:divBdr>
                <w:top w:val="none" w:sz="0" w:space="0" w:color="auto"/>
                <w:left w:val="none" w:sz="0" w:space="0" w:color="auto"/>
                <w:bottom w:val="none" w:sz="0" w:space="0" w:color="auto"/>
                <w:right w:val="none" w:sz="0" w:space="0" w:color="auto"/>
              </w:divBdr>
            </w:div>
            <w:div w:id="1756392517">
              <w:marLeft w:val="0"/>
              <w:marRight w:val="0"/>
              <w:marTop w:val="0"/>
              <w:marBottom w:val="0"/>
              <w:divBdr>
                <w:top w:val="none" w:sz="0" w:space="0" w:color="auto"/>
                <w:left w:val="none" w:sz="0" w:space="0" w:color="auto"/>
                <w:bottom w:val="none" w:sz="0" w:space="0" w:color="auto"/>
                <w:right w:val="none" w:sz="0" w:space="0" w:color="auto"/>
              </w:divBdr>
            </w:div>
            <w:div w:id="1756392519">
              <w:marLeft w:val="0"/>
              <w:marRight w:val="0"/>
              <w:marTop w:val="0"/>
              <w:marBottom w:val="0"/>
              <w:divBdr>
                <w:top w:val="none" w:sz="0" w:space="0" w:color="auto"/>
                <w:left w:val="none" w:sz="0" w:space="0" w:color="auto"/>
                <w:bottom w:val="none" w:sz="0" w:space="0" w:color="auto"/>
                <w:right w:val="none" w:sz="0" w:space="0" w:color="auto"/>
              </w:divBdr>
            </w:div>
            <w:div w:id="1756392520">
              <w:marLeft w:val="0"/>
              <w:marRight w:val="0"/>
              <w:marTop w:val="0"/>
              <w:marBottom w:val="0"/>
              <w:divBdr>
                <w:top w:val="none" w:sz="0" w:space="0" w:color="auto"/>
                <w:left w:val="none" w:sz="0" w:space="0" w:color="auto"/>
                <w:bottom w:val="none" w:sz="0" w:space="0" w:color="auto"/>
                <w:right w:val="none" w:sz="0" w:space="0" w:color="auto"/>
              </w:divBdr>
            </w:div>
            <w:div w:id="1756392522">
              <w:marLeft w:val="0"/>
              <w:marRight w:val="0"/>
              <w:marTop w:val="0"/>
              <w:marBottom w:val="0"/>
              <w:divBdr>
                <w:top w:val="none" w:sz="0" w:space="0" w:color="auto"/>
                <w:left w:val="none" w:sz="0" w:space="0" w:color="auto"/>
                <w:bottom w:val="none" w:sz="0" w:space="0" w:color="auto"/>
                <w:right w:val="none" w:sz="0" w:space="0" w:color="auto"/>
              </w:divBdr>
            </w:div>
            <w:div w:id="175639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392525">
      <w:marLeft w:val="0"/>
      <w:marRight w:val="0"/>
      <w:marTop w:val="0"/>
      <w:marBottom w:val="0"/>
      <w:divBdr>
        <w:top w:val="none" w:sz="0" w:space="0" w:color="auto"/>
        <w:left w:val="none" w:sz="0" w:space="0" w:color="auto"/>
        <w:bottom w:val="none" w:sz="0" w:space="0" w:color="auto"/>
        <w:right w:val="none" w:sz="0" w:space="0" w:color="auto"/>
      </w:divBdr>
    </w:div>
    <w:div w:id="1756392526">
      <w:marLeft w:val="0"/>
      <w:marRight w:val="0"/>
      <w:marTop w:val="0"/>
      <w:marBottom w:val="0"/>
      <w:divBdr>
        <w:top w:val="none" w:sz="0" w:space="0" w:color="auto"/>
        <w:left w:val="none" w:sz="0" w:space="0" w:color="auto"/>
        <w:bottom w:val="none" w:sz="0" w:space="0" w:color="auto"/>
        <w:right w:val="none" w:sz="0" w:space="0" w:color="auto"/>
      </w:divBdr>
    </w:div>
    <w:div w:id="1756392528">
      <w:marLeft w:val="0"/>
      <w:marRight w:val="0"/>
      <w:marTop w:val="0"/>
      <w:marBottom w:val="0"/>
      <w:divBdr>
        <w:top w:val="none" w:sz="0" w:space="0" w:color="auto"/>
        <w:left w:val="none" w:sz="0" w:space="0" w:color="auto"/>
        <w:bottom w:val="none" w:sz="0" w:space="0" w:color="auto"/>
        <w:right w:val="none" w:sz="0" w:space="0" w:color="auto"/>
      </w:divBdr>
      <w:divsChild>
        <w:div w:id="1756392527">
          <w:marLeft w:val="1368"/>
          <w:marRight w:val="0"/>
          <w:marTop w:val="115"/>
          <w:marBottom w:val="0"/>
          <w:divBdr>
            <w:top w:val="none" w:sz="0" w:space="0" w:color="auto"/>
            <w:left w:val="none" w:sz="0" w:space="0" w:color="auto"/>
            <w:bottom w:val="none" w:sz="0" w:space="0" w:color="auto"/>
            <w:right w:val="none" w:sz="0" w:space="0" w:color="auto"/>
          </w:divBdr>
        </w:div>
        <w:div w:id="1756392529">
          <w:marLeft w:val="1368"/>
          <w:marRight w:val="0"/>
          <w:marTop w:val="115"/>
          <w:marBottom w:val="0"/>
          <w:divBdr>
            <w:top w:val="none" w:sz="0" w:space="0" w:color="auto"/>
            <w:left w:val="none" w:sz="0" w:space="0" w:color="auto"/>
            <w:bottom w:val="none" w:sz="0" w:space="0" w:color="auto"/>
            <w:right w:val="none" w:sz="0" w:space="0" w:color="auto"/>
          </w:divBdr>
        </w:div>
        <w:div w:id="1756392531">
          <w:marLeft w:val="1368"/>
          <w:marRight w:val="0"/>
          <w:marTop w:val="115"/>
          <w:marBottom w:val="0"/>
          <w:divBdr>
            <w:top w:val="none" w:sz="0" w:space="0" w:color="auto"/>
            <w:left w:val="none" w:sz="0" w:space="0" w:color="auto"/>
            <w:bottom w:val="none" w:sz="0" w:space="0" w:color="auto"/>
            <w:right w:val="none" w:sz="0" w:space="0" w:color="auto"/>
          </w:divBdr>
        </w:div>
        <w:div w:id="1756392532">
          <w:marLeft w:val="1368"/>
          <w:marRight w:val="0"/>
          <w:marTop w:val="115"/>
          <w:marBottom w:val="0"/>
          <w:divBdr>
            <w:top w:val="none" w:sz="0" w:space="0" w:color="auto"/>
            <w:left w:val="none" w:sz="0" w:space="0" w:color="auto"/>
            <w:bottom w:val="none" w:sz="0" w:space="0" w:color="auto"/>
            <w:right w:val="none" w:sz="0" w:space="0" w:color="auto"/>
          </w:divBdr>
        </w:div>
      </w:divsChild>
    </w:div>
    <w:div w:id="1756392534">
      <w:marLeft w:val="0"/>
      <w:marRight w:val="0"/>
      <w:marTop w:val="0"/>
      <w:marBottom w:val="0"/>
      <w:divBdr>
        <w:top w:val="none" w:sz="0" w:space="0" w:color="auto"/>
        <w:left w:val="none" w:sz="0" w:space="0" w:color="auto"/>
        <w:bottom w:val="none" w:sz="0" w:space="0" w:color="auto"/>
        <w:right w:val="none" w:sz="0" w:space="0" w:color="auto"/>
      </w:divBdr>
    </w:div>
    <w:div w:id="1756392535">
      <w:marLeft w:val="0"/>
      <w:marRight w:val="0"/>
      <w:marTop w:val="0"/>
      <w:marBottom w:val="0"/>
      <w:divBdr>
        <w:top w:val="none" w:sz="0" w:space="0" w:color="auto"/>
        <w:left w:val="none" w:sz="0" w:space="0" w:color="auto"/>
        <w:bottom w:val="none" w:sz="0" w:space="0" w:color="auto"/>
        <w:right w:val="none" w:sz="0" w:space="0" w:color="auto"/>
      </w:divBdr>
    </w:div>
    <w:div w:id="213444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1168</Words>
  <Characters>6661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National Waiting Times Centre Board</vt:lpstr>
    </vt:vector>
  </TitlesOfParts>
  <Company>GJNH</Company>
  <LinksUpToDate>false</LinksUpToDate>
  <CharactersWithSpaces>7814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Waiting Times Centre Board</dc:title>
  <dc:creator>National Waiting Times Centre</dc:creator>
  <cp:lastModifiedBy>McGuinnessC1</cp:lastModifiedBy>
  <cp:revision>6</cp:revision>
  <cp:lastPrinted>2017-10-30T12:05:00Z</cp:lastPrinted>
  <dcterms:created xsi:type="dcterms:W3CDTF">2018-03-08T14:17:00Z</dcterms:created>
  <dcterms:modified xsi:type="dcterms:W3CDTF">2018-03-23T17:11:00Z</dcterms:modified>
</cp:coreProperties>
</file>